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7" w:rsidRPr="003E6C88" w:rsidRDefault="000E42C7" w:rsidP="00564119">
      <w:pPr>
        <w:spacing w:before="120" w:after="120"/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3E6C88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95363F">
        <w:rPr>
          <w:rFonts w:ascii="Tahoma" w:hAnsi="Tahoma" w:cs="Tahoma"/>
          <w:b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3.5pt;height:43.5pt;visibility:visible">
            <v:imagedata r:id="rId8" o:title=""/>
          </v:shape>
        </w:pict>
      </w:r>
    </w:p>
    <w:p w:rsidR="000E42C7" w:rsidRPr="003E6C88" w:rsidRDefault="0095363F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2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>9</w:t>
      </w:r>
      <w:bookmarkStart w:id="0" w:name="_GoBack"/>
      <w:bookmarkEnd w:id="0"/>
      <w:r w:rsidR="000E42C7" w:rsidRPr="003E6C88">
        <w:rPr>
          <w:rFonts w:ascii="Tahoma" w:hAnsi="Tahoma" w:cs="Tahoma"/>
          <w:b/>
          <w:color w:val="000000"/>
          <w:sz w:val="20"/>
          <w:szCs w:val="20"/>
        </w:rPr>
        <w:t xml:space="preserve"> мая 2014</w:t>
      </w: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E6C88">
        <w:rPr>
          <w:rFonts w:ascii="Tahoma" w:hAnsi="Tahoma" w:cs="Tahoma"/>
          <w:b/>
          <w:color w:val="000000"/>
          <w:sz w:val="20"/>
          <w:szCs w:val="20"/>
        </w:rPr>
        <w:t>ЗАО «Райффайзенбанк»</w:t>
      </w: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0E42C7" w:rsidRPr="003E6C88" w:rsidRDefault="000E42C7" w:rsidP="0056411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</w:pPr>
      <w:r w:rsidRPr="003E6C88">
        <w:rPr>
          <w:rFonts w:ascii="Tahoma" w:hAnsi="Tahoma" w:cs="Tahoma"/>
          <w:b/>
          <w:bCs/>
          <w:color w:val="000000"/>
          <w:sz w:val="20"/>
          <w:szCs w:val="20"/>
          <w:lang w:eastAsia="ru-RU"/>
        </w:rPr>
        <w:t>Райффайзенбанк объявляет о результатах деятельности по итогам 1 квартала 2014 года в соответствии с Международными стандартами финансовой отчетности на консолидированной основе</w:t>
      </w: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3E6C88">
        <w:rPr>
          <w:rStyle w:val="Emphasis"/>
          <w:rFonts w:ascii="Tahoma" w:hAnsi="Tahoma" w:cs="Tahoma"/>
          <w:iCs/>
          <w:sz w:val="20"/>
          <w:szCs w:val="20"/>
        </w:rPr>
        <w:t xml:space="preserve">Показатели ЗАО «Райффайзенбанк» по итогам 1 квартала 2014 года приводятся в соответствии с Международными стандартами финансовой отчетности (МСФО) и могут отличаться от данных по сегменту «Россия» в </w:t>
      </w:r>
      <w:r w:rsidRPr="003E6C88">
        <w:rPr>
          <w:rFonts w:ascii="Tahoma" w:hAnsi="Tahoma" w:cs="Tahoma"/>
          <w:i/>
          <w:sz w:val="20"/>
          <w:szCs w:val="20"/>
        </w:rPr>
        <w:t xml:space="preserve">финансовом отчете </w:t>
      </w:r>
      <w:proofErr w:type="spellStart"/>
      <w:r w:rsidRPr="003E6C88">
        <w:rPr>
          <w:rFonts w:ascii="Tahoma" w:hAnsi="Tahoma" w:cs="Tahoma"/>
          <w:i/>
          <w:sz w:val="20"/>
          <w:szCs w:val="20"/>
        </w:rPr>
        <w:t>Райффайзен</w:t>
      </w:r>
      <w:proofErr w:type="spellEnd"/>
      <w:r w:rsidRPr="003E6C88">
        <w:rPr>
          <w:rFonts w:ascii="Tahoma" w:hAnsi="Tahoma" w:cs="Tahoma"/>
          <w:i/>
          <w:sz w:val="20"/>
          <w:szCs w:val="20"/>
        </w:rPr>
        <w:t xml:space="preserve"> Банк </w:t>
      </w:r>
      <w:proofErr w:type="spellStart"/>
      <w:r w:rsidRPr="003E6C88">
        <w:rPr>
          <w:rFonts w:ascii="Tahoma" w:hAnsi="Tahoma" w:cs="Tahoma"/>
          <w:i/>
          <w:sz w:val="20"/>
          <w:szCs w:val="20"/>
        </w:rPr>
        <w:t>Интернациональ</w:t>
      </w:r>
      <w:proofErr w:type="spellEnd"/>
      <w:r w:rsidRPr="003E6C88">
        <w:rPr>
          <w:rFonts w:ascii="Tahoma" w:hAnsi="Tahoma" w:cs="Tahoma"/>
          <w:i/>
          <w:sz w:val="20"/>
          <w:szCs w:val="20"/>
        </w:rPr>
        <w:t xml:space="preserve"> в связи с разницей, возникающей при  консолидации</w:t>
      </w:r>
      <w:r w:rsidRPr="003E6C88">
        <w:rPr>
          <w:rStyle w:val="Emphasis"/>
          <w:rFonts w:ascii="Tahoma" w:hAnsi="Tahoma" w:cs="Tahoma"/>
          <w:iCs/>
          <w:sz w:val="20"/>
          <w:szCs w:val="20"/>
        </w:rPr>
        <w:t>.</w:t>
      </w:r>
    </w:p>
    <w:p w:rsidR="000E42C7" w:rsidRDefault="000E42C7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E6C88">
        <w:rPr>
          <w:rFonts w:ascii="Tahoma" w:hAnsi="Tahoma" w:cs="Tahoma"/>
          <w:b/>
          <w:color w:val="000000"/>
          <w:sz w:val="20"/>
          <w:szCs w:val="20"/>
        </w:rPr>
        <w:t>ОТЧЕТ О ПРИБЫЛЯХ И УБЫТКАХ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Прибыль после налогообложения </w:t>
      </w:r>
      <w:r w:rsidRPr="003E6C88">
        <w:rPr>
          <w:rFonts w:ascii="Tahoma" w:hAnsi="Tahoma" w:cs="Tahoma"/>
          <w:sz w:val="20"/>
          <w:szCs w:val="20"/>
        </w:rPr>
        <w:t>по итогам 1 квартала 2014 года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 xml:space="preserve">составила </w:t>
      </w:r>
      <w:r w:rsidRPr="003E6C88">
        <w:rPr>
          <w:rFonts w:ascii="Tahoma" w:hAnsi="Tahoma" w:cs="Tahoma"/>
          <w:b/>
          <w:sz w:val="20"/>
          <w:szCs w:val="20"/>
        </w:rPr>
        <w:t>5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 xml:space="preserve">438.1 млн руб., </w:t>
      </w:r>
      <w:r w:rsidRPr="003E6C88">
        <w:rPr>
          <w:rFonts w:ascii="Tahoma" w:hAnsi="Tahoma" w:cs="Tahoma"/>
          <w:sz w:val="20"/>
          <w:szCs w:val="20"/>
        </w:rPr>
        <w:t xml:space="preserve">сократившись на </w:t>
      </w:r>
      <w:r w:rsidRPr="003E6C88">
        <w:rPr>
          <w:rFonts w:ascii="Tahoma" w:hAnsi="Tahoma" w:cs="Tahoma"/>
          <w:b/>
          <w:sz w:val="20"/>
          <w:szCs w:val="20"/>
        </w:rPr>
        <w:t xml:space="preserve">13.8% </w:t>
      </w:r>
      <w:r w:rsidRPr="003E6C88">
        <w:rPr>
          <w:rFonts w:ascii="Tahoma" w:hAnsi="Tahoma" w:cs="Tahoma"/>
          <w:sz w:val="20"/>
          <w:szCs w:val="20"/>
        </w:rPr>
        <w:t>по сравнению с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 xml:space="preserve"> </w:t>
      </w:r>
      <w:r w:rsidRPr="003E6C88">
        <w:rPr>
          <w:rFonts w:ascii="Tahoma" w:hAnsi="Tahoma" w:cs="Tahoma"/>
          <w:b/>
          <w:sz w:val="20"/>
          <w:szCs w:val="20"/>
        </w:rPr>
        <w:t>6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305.2 млн руб.</w:t>
      </w:r>
      <w:r w:rsidRPr="003E6C88">
        <w:rPr>
          <w:rFonts w:ascii="Tahoma" w:hAnsi="Tahoma" w:cs="Tahoma"/>
          <w:sz w:val="20"/>
          <w:szCs w:val="20"/>
        </w:rPr>
        <w:t xml:space="preserve">, полученными по итогам аналогичного периода 2013 года. Основными факторами снижения прибыли банка стали сокращение торгового результата (в том числе за счет наличия разового положительного эффекта от продажи ценных бумаг в 1 квартале 2013), а также </w:t>
      </w:r>
      <w:proofErr w:type="spellStart"/>
      <w:r w:rsidRPr="003E6C88">
        <w:rPr>
          <w:rFonts w:ascii="Tahoma" w:hAnsi="Tahoma" w:cs="Tahoma"/>
          <w:sz w:val="20"/>
          <w:szCs w:val="20"/>
        </w:rPr>
        <w:t>досоздание</w:t>
      </w:r>
      <w:proofErr w:type="spellEnd"/>
      <w:r w:rsidRPr="003E6C88">
        <w:rPr>
          <w:rFonts w:ascii="Tahoma" w:hAnsi="Tahoma" w:cs="Tahoma"/>
          <w:sz w:val="20"/>
          <w:szCs w:val="20"/>
        </w:rPr>
        <w:t xml:space="preserve"> резервов на возможные потери по ссудам.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>При этом операционный доход банка до вычета резервов под обесценение</w:t>
      </w:r>
      <w:r>
        <w:rPr>
          <w:rStyle w:val="FootnoteReference"/>
          <w:rFonts w:ascii="Tahoma" w:hAnsi="Tahoma" w:cs="Tahoma"/>
          <w:b/>
          <w:sz w:val="20"/>
          <w:szCs w:val="20"/>
        </w:rPr>
        <w:footnoteReference w:id="1"/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 xml:space="preserve">продолжил увеличиваться и составил </w:t>
      </w:r>
      <w:r w:rsidRPr="003E6C88">
        <w:rPr>
          <w:rFonts w:ascii="Tahoma" w:hAnsi="Tahoma" w:cs="Tahoma"/>
          <w:b/>
          <w:sz w:val="20"/>
          <w:szCs w:val="20"/>
        </w:rPr>
        <w:t>13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086.5 млн руб.</w:t>
      </w:r>
      <w:r w:rsidRPr="003E6C88">
        <w:rPr>
          <w:rFonts w:ascii="Tahoma" w:hAnsi="Tahoma" w:cs="Tahoma"/>
          <w:sz w:val="20"/>
          <w:szCs w:val="20"/>
        </w:rPr>
        <w:t xml:space="preserve"> по итогам 1 квартала 2014 года (</w:t>
      </w:r>
      <w:r w:rsidRPr="003E6C88">
        <w:rPr>
          <w:rFonts w:ascii="Tahoma" w:hAnsi="Tahoma" w:cs="Tahoma"/>
          <w:b/>
          <w:sz w:val="20"/>
          <w:szCs w:val="20"/>
        </w:rPr>
        <w:t xml:space="preserve">+4.6% </w:t>
      </w:r>
      <w:r w:rsidRPr="003E6C88">
        <w:rPr>
          <w:rFonts w:ascii="Tahoma" w:hAnsi="Tahoma" w:cs="Tahoma"/>
          <w:sz w:val="20"/>
          <w:szCs w:val="20"/>
        </w:rPr>
        <w:t xml:space="preserve">по сравнению с </w:t>
      </w:r>
      <w:r w:rsidRPr="003E6C88">
        <w:rPr>
          <w:rFonts w:ascii="Tahoma" w:hAnsi="Tahoma" w:cs="Tahoma"/>
          <w:b/>
          <w:sz w:val="20"/>
          <w:szCs w:val="20"/>
        </w:rPr>
        <w:t>12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507.5</w:t>
      </w:r>
      <w:r w:rsidRPr="003E6C88">
        <w:rPr>
          <w:rFonts w:ascii="Tahoma" w:hAnsi="Tahoma" w:cs="Tahoma"/>
          <w:sz w:val="20"/>
          <w:szCs w:val="20"/>
        </w:rPr>
        <w:t xml:space="preserve"> млн руб. по итогам трех месяцев 2013), в основном благодаря положительной динамике чистого процентного дохода до вычета расходов на создание резервов под обесценение</w:t>
      </w:r>
      <w:r>
        <w:rPr>
          <w:rStyle w:val="FootnoteReference"/>
          <w:rFonts w:ascii="Tahoma" w:hAnsi="Tahoma" w:cs="Tahoma"/>
          <w:sz w:val="20"/>
          <w:szCs w:val="20"/>
        </w:rPr>
        <w:footnoteReference w:id="2"/>
      </w:r>
      <w:r w:rsidRPr="003E6C88">
        <w:rPr>
          <w:rFonts w:ascii="Tahoma" w:hAnsi="Tahoma" w:cs="Tahoma"/>
          <w:sz w:val="20"/>
          <w:szCs w:val="20"/>
        </w:rPr>
        <w:t>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>Чистый процентный доход до вычета расходов на создание резервов под обесценение</w:t>
      </w:r>
      <w:r>
        <w:rPr>
          <w:rStyle w:val="FootnoteReference"/>
          <w:rFonts w:ascii="Tahoma" w:hAnsi="Tahoma" w:cs="Tahoma"/>
          <w:b/>
          <w:sz w:val="20"/>
          <w:szCs w:val="20"/>
        </w:rPr>
        <w:footnoteReference w:id="3"/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 xml:space="preserve">составил </w:t>
      </w:r>
      <w:r w:rsidRPr="003E6C88">
        <w:rPr>
          <w:rFonts w:ascii="Tahoma" w:hAnsi="Tahoma" w:cs="Tahoma"/>
          <w:b/>
          <w:sz w:val="20"/>
          <w:szCs w:val="20"/>
        </w:rPr>
        <w:t>10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080.8 млн руб.</w:t>
      </w:r>
      <w:r w:rsidRPr="003E6C88">
        <w:rPr>
          <w:rFonts w:ascii="Tahoma" w:hAnsi="Tahoma" w:cs="Tahoma"/>
          <w:sz w:val="20"/>
          <w:szCs w:val="20"/>
        </w:rPr>
        <w:t xml:space="preserve"> по итогам 1 квартала 2014 года, увеличившись на </w:t>
      </w:r>
      <w:r w:rsidRPr="003E6C88">
        <w:rPr>
          <w:rFonts w:ascii="Tahoma" w:hAnsi="Tahoma" w:cs="Tahoma"/>
          <w:b/>
          <w:sz w:val="20"/>
          <w:szCs w:val="20"/>
        </w:rPr>
        <w:t>23.1%</w:t>
      </w:r>
      <w:r w:rsidRPr="003E6C88">
        <w:rPr>
          <w:rFonts w:ascii="Tahoma" w:hAnsi="Tahoma" w:cs="Tahoma"/>
          <w:sz w:val="20"/>
          <w:szCs w:val="20"/>
        </w:rPr>
        <w:t xml:space="preserve"> (или на </w:t>
      </w:r>
      <w:r w:rsidRPr="003E6C88">
        <w:rPr>
          <w:rFonts w:ascii="Tahoma" w:hAnsi="Tahoma" w:cs="Tahoma"/>
          <w:b/>
          <w:sz w:val="20"/>
          <w:szCs w:val="20"/>
        </w:rPr>
        <w:t>1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894.5 млн руб</w:t>
      </w:r>
      <w:r w:rsidRPr="003E6C88">
        <w:rPr>
          <w:rFonts w:ascii="Tahoma" w:hAnsi="Tahoma" w:cs="Tahoma"/>
          <w:sz w:val="20"/>
          <w:szCs w:val="20"/>
        </w:rPr>
        <w:t>.) по сравнению с аналогичным показателем по итогам трех месяцев 2013 года благодаря росту процентных доходов по кредитам и авансам физическим лицам на 49.6% или 2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225.4 млн руб. на фоне роста розничного кредитного портфеля (+ 40.2% по сравнению со значением на конец 1 квартала 2013).</w:t>
      </w:r>
    </w:p>
    <w:p w:rsidR="000E42C7" w:rsidRPr="003E6C88" w:rsidRDefault="000E42C7" w:rsidP="00564119">
      <w:pPr>
        <w:pStyle w:val="ListParagraph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>Чистый комиссионный доход</w:t>
      </w:r>
      <w:r w:rsidRPr="003E6C88">
        <w:rPr>
          <w:rFonts w:ascii="Tahoma" w:hAnsi="Tahoma" w:cs="Tahoma"/>
          <w:sz w:val="20"/>
          <w:szCs w:val="20"/>
        </w:rPr>
        <w:t xml:space="preserve"> банка составил </w:t>
      </w:r>
      <w:r w:rsidRPr="003E6C88">
        <w:rPr>
          <w:rFonts w:ascii="Tahoma" w:hAnsi="Tahoma" w:cs="Tahoma"/>
          <w:b/>
          <w:sz w:val="20"/>
          <w:szCs w:val="20"/>
        </w:rPr>
        <w:t>2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324.4 млн руб</w:t>
      </w:r>
      <w:r w:rsidRPr="003E6C88">
        <w:rPr>
          <w:rFonts w:ascii="Tahoma" w:hAnsi="Tahoma" w:cs="Tahoma"/>
          <w:sz w:val="20"/>
          <w:szCs w:val="20"/>
        </w:rPr>
        <w:t xml:space="preserve">. по итогам 1 квартала 2014 (+2.9% по сравнению со значением за аналогичный период 2013 года). Основной рост приходился на следующие компоненты чистых комиссионных доходов: чистые комиссии по операциям с пластиковыми картами (+16.7% или 138.4 млн руб. до 965.2 млн руб.) на фоне роста числа обслуживаемых карт и комиссии от страховых компаний в рамках партнерских программ (+27.6% или 72.8 млн руб. до 336.9 млн руб.). Факторы, сдерживавшие рост чистого комиссионного дохода банка в 1 квартале 2014: сокращение комиссий по документарным операциям и гарантиям (-34.4% или 101.3 млн руб.) и снижение комиссий по расчетным операциям (-52.6% или 78.0 млн руб.)  за счет роста их затратной составляющей - расходов по агентским вознаграждениям на фоне расширения розничного бизнеса. </w:t>
      </w: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lastRenderedPageBreak/>
        <w:t>Торговый результат</w:t>
      </w:r>
      <w:r>
        <w:rPr>
          <w:rStyle w:val="FootnoteReference"/>
          <w:rFonts w:ascii="Tahoma" w:hAnsi="Tahoma" w:cs="Tahoma"/>
          <w:b/>
          <w:sz w:val="20"/>
          <w:szCs w:val="20"/>
        </w:rPr>
        <w:footnoteReference w:id="4"/>
      </w:r>
      <w:r w:rsidRPr="003E6C88">
        <w:rPr>
          <w:rFonts w:ascii="Tahoma" w:hAnsi="Tahoma" w:cs="Tahoma"/>
          <w:sz w:val="20"/>
          <w:szCs w:val="20"/>
        </w:rPr>
        <w:t xml:space="preserve"> сократился на </w:t>
      </w:r>
      <w:r w:rsidRPr="003E6C88">
        <w:rPr>
          <w:rFonts w:ascii="Tahoma" w:hAnsi="Tahoma" w:cs="Tahoma"/>
          <w:b/>
          <w:sz w:val="20"/>
          <w:szCs w:val="20"/>
        </w:rPr>
        <w:t>75.9%</w:t>
      </w:r>
      <w:r w:rsidRPr="003E6C88">
        <w:rPr>
          <w:rFonts w:ascii="Tahoma" w:hAnsi="Tahoma" w:cs="Tahoma"/>
          <w:sz w:val="20"/>
          <w:szCs w:val="20"/>
        </w:rPr>
        <w:t xml:space="preserve"> до </w:t>
      </w:r>
      <w:r w:rsidRPr="003E6C88">
        <w:rPr>
          <w:rFonts w:ascii="Tahoma" w:hAnsi="Tahoma" w:cs="Tahoma"/>
          <w:b/>
          <w:sz w:val="20"/>
          <w:szCs w:val="20"/>
        </w:rPr>
        <w:t>441.5 млн руб</w:t>
      </w:r>
      <w:r w:rsidRPr="003E6C88">
        <w:rPr>
          <w:rFonts w:ascii="Tahoma" w:hAnsi="Tahoma" w:cs="Tahoma"/>
          <w:sz w:val="20"/>
          <w:szCs w:val="20"/>
        </w:rPr>
        <w:t xml:space="preserve">. в 1 квартале 2014 года по сравнению с </w:t>
      </w:r>
      <w:r w:rsidRPr="003E6C88">
        <w:rPr>
          <w:rFonts w:ascii="Tahoma" w:hAnsi="Tahoma" w:cs="Tahoma"/>
          <w:b/>
          <w:sz w:val="20"/>
          <w:szCs w:val="20"/>
        </w:rPr>
        <w:t>1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830.4 млн руб</w:t>
      </w:r>
      <w:r w:rsidRPr="003E6C88">
        <w:rPr>
          <w:rFonts w:ascii="Tahoma" w:hAnsi="Tahoma" w:cs="Tahoma"/>
          <w:sz w:val="20"/>
          <w:szCs w:val="20"/>
        </w:rPr>
        <w:t xml:space="preserve">., полученными по итогам аналогичного периода прошлого года. Более низкий результат 1 квартала 2014 года обусловлен, прежде всего, наличием разового положительного эффекта в 1 квартале 2013 года в размере </w:t>
      </w:r>
      <w:r w:rsidRPr="003E6C88">
        <w:rPr>
          <w:rFonts w:ascii="Tahoma" w:hAnsi="Tahoma" w:cs="Tahoma"/>
          <w:b/>
          <w:sz w:val="20"/>
          <w:szCs w:val="20"/>
        </w:rPr>
        <w:t>1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032.5</w:t>
      </w:r>
      <w:r w:rsidRPr="003E6C88">
        <w:rPr>
          <w:rFonts w:ascii="Tahoma" w:hAnsi="Tahoma" w:cs="Tahoma"/>
          <w:sz w:val="20"/>
          <w:szCs w:val="20"/>
        </w:rPr>
        <w:t xml:space="preserve"> млн руб. за счет реализации ценных бумаг, имеющихся в наличии для продажи. Еще одним фактором сокращения торгового результата стало получение убытка по портфелю торговых ценных бумаг и ценных бумаг, оцениваемых по справедливой стоимости через прибыль и убыток (560.0 млн руб. и 632.9 млн руб. соответственно) за счет отрицательной переоценки бумаг на фоне повышения рыночных ставок.</w:t>
      </w:r>
    </w:p>
    <w:p w:rsidR="000E42C7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>Административные и прочие операционные расходы</w:t>
      </w:r>
      <w:r w:rsidRPr="003E6C88">
        <w:rPr>
          <w:rFonts w:ascii="Tahoma" w:hAnsi="Tahoma" w:cs="Tahoma"/>
          <w:sz w:val="20"/>
          <w:szCs w:val="20"/>
        </w:rPr>
        <w:t xml:space="preserve"> по итогам трех месяцев 2014 года составили </w:t>
      </w:r>
      <w:r w:rsidRPr="003E6C88">
        <w:rPr>
          <w:rFonts w:ascii="Tahoma" w:hAnsi="Tahoma" w:cs="Tahoma"/>
          <w:b/>
          <w:sz w:val="20"/>
          <w:szCs w:val="20"/>
        </w:rPr>
        <w:t>5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503.1 млн руб.</w:t>
      </w:r>
      <w:r w:rsidRPr="003E6C88">
        <w:rPr>
          <w:rFonts w:ascii="Tahoma" w:hAnsi="Tahoma" w:cs="Tahoma"/>
          <w:sz w:val="20"/>
          <w:szCs w:val="20"/>
        </w:rPr>
        <w:t>, увеличившись на 6.9% или 357.4 млн руб. по сравнению со значением за 1 квартал 2013 года, в основном за счет роста расходов на персонал (на 11.8% или на 339.0 млн руб. до 3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 xml:space="preserve">203.4 млн руб.) на фоне роста числа сотрудников, а также увеличения расходов на обучение персонала. </w:t>
      </w:r>
      <w:r w:rsidRPr="003E6C88">
        <w:rPr>
          <w:rFonts w:ascii="Tahoma" w:hAnsi="Tahoma" w:cs="Tahoma"/>
          <w:b/>
          <w:sz w:val="20"/>
          <w:szCs w:val="20"/>
        </w:rPr>
        <w:t>Соотношение расходов и доходов (</w:t>
      </w:r>
      <w:r w:rsidRPr="003E6C88">
        <w:rPr>
          <w:rFonts w:ascii="Tahoma" w:hAnsi="Tahoma" w:cs="Tahoma"/>
          <w:b/>
          <w:sz w:val="20"/>
          <w:szCs w:val="20"/>
          <w:lang w:val="en-US"/>
        </w:rPr>
        <w:t>Cost</w:t>
      </w:r>
      <w:r w:rsidRPr="003E6C88">
        <w:rPr>
          <w:rFonts w:ascii="Tahoma" w:hAnsi="Tahoma" w:cs="Tahoma"/>
          <w:b/>
          <w:sz w:val="20"/>
          <w:szCs w:val="20"/>
        </w:rPr>
        <w:t>-</w:t>
      </w:r>
      <w:r w:rsidRPr="003E6C88">
        <w:rPr>
          <w:rFonts w:ascii="Tahoma" w:hAnsi="Tahoma" w:cs="Tahoma"/>
          <w:b/>
          <w:sz w:val="20"/>
          <w:szCs w:val="20"/>
          <w:lang w:val="en-US"/>
        </w:rPr>
        <w:t>to</w:t>
      </w:r>
      <w:r w:rsidRPr="003E6C88">
        <w:rPr>
          <w:rFonts w:ascii="Tahoma" w:hAnsi="Tahoma" w:cs="Tahoma"/>
          <w:b/>
          <w:sz w:val="20"/>
          <w:szCs w:val="20"/>
        </w:rPr>
        <w:t>-</w:t>
      </w:r>
      <w:r w:rsidRPr="003E6C88">
        <w:rPr>
          <w:rFonts w:ascii="Tahoma" w:hAnsi="Tahoma" w:cs="Tahoma"/>
          <w:b/>
          <w:sz w:val="20"/>
          <w:szCs w:val="20"/>
          <w:lang w:val="en-US"/>
        </w:rPr>
        <w:t>income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b/>
          <w:sz w:val="20"/>
          <w:szCs w:val="20"/>
          <w:lang w:val="en-US"/>
        </w:rPr>
        <w:t>ratio</w:t>
      </w:r>
      <w:r w:rsidRPr="003E6C88">
        <w:rPr>
          <w:rFonts w:ascii="Tahoma" w:hAnsi="Tahoma" w:cs="Tahoma"/>
          <w:b/>
          <w:sz w:val="20"/>
          <w:szCs w:val="20"/>
        </w:rPr>
        <w:t>)</w:t>
      </w:r>
      <w:r w:rsidRPr="003E6C88">
        <w:rPr>
          <w:rFonts w:ascii="Tahoma" w:hAnsi="Tahoma" w:cs="Tahoma"/>
          <w:sz w:val="20"/>
          <w:szCs w:val="20"/>
        </w:rPr>
        <w:t xml:space="preserve"> составило </w:t>
      </w:r>
      <w:r w:rsidRPr="003E6C88">
        <w:rPr>
          <w:rFonts w:ascii="Tahoma" w:hAnsi="Tahoma" w:cs="Tahoma"/>
          <w:b/>
          <w:sz w:val="20"/>
          <w:szCs w:val="20"/>
        </w:rPr>
        <w:t xml:space="preserve">42.1% по итогам 1 квартала 2014 года </w:t>
      </w:r>
      <w:r w:rsidRPr="003E6C88">
        <w:rPr>
          <w:rFonts w:ascii="Tahoma" w:hAnsi="Tahoma" w:cs="Tahoma"/>
          <w:sz w:val="20"/>
          <w:szCs w:val="20"/>
        </w:rPr>
        <w:t>по сравнению с 46.1% по состоянию на 31.12.2013 и 41.1% по состоянию на 31.03.2013.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sz w:val="20"/>
          <w:szCs w:val="20"/>
        </w:rPr>
        <w:t xml:space="preserve">В 1 квартале 2014 произошло </w:t>
      </w:r>
      <w:proofErr w:type="spellStart"/>
      <w:r w:rsidRPr="003E6C88">
        <w:rPr>
          <w:rFonts w:ascii="Tahoma" w:hAnsi="Tahoma" w:cs="Tahoma"/>
          <w:sz w:val="20"/>
          <w:szCs w:val="20"/>
        </w:rPr>
        <w:t>досоздание</w:t>
      </w:r>
      <w:proofErr w:type="spellEnd"/>
      <w:r w:rsidRPr="003E6C88">
        <w:rPr>
          <w:rFonts w:ascii="Tahoma" w:hAnsi="Tahoma" w:cs="Tahoma"/>
          <w:sz w:val="20"/>
          <w:szCs w:val="20"/>
        </w:rPr>
        <w:t xml:space="preserve"> резервов на возможные потери по ссудам в размере 986.1 млн руб., против роспуска резервов в первом квартале 2013 года в размере 553.9 млн руб. Это происходило в основном за счет </w:t>
      </w:r>
      <w:proofErr w:type="spellStart"/>
      <w:r w:rsidRPr="003E6C88">
        <w:rPr>
          <w:rFonts w:ascii="Tahoma" w:hAnsi="Tahoma" w:cs="Tahoma"/>
          <w:sz w:val="20"/>
          <w:szCs w:val="20"/>
        </w:rPr>
        <w:t>досоздания</w:t>
      </w:r>
      <w:proofErr w:type="spellEnd"/>
      <w:r w:rsidRPr="003E6C88">
        <w:rPr>
          <w:rFonts w:ascii="Tahoma" w:hAnsi="Tahoma" w:cs="Tahoma"/>
          <w:sz w:val="20"/>
          <w:szCs w:val="20"/>
        </w:rPr>
        <w:t xml:space="preserve"> резервов по розничному кредитному портфелю в размере 938.8 млн руб. на фоне роста просроченной задолженности, а также роста кредитного портфеля  физических лиц.</w:t>
      </w: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E6C88">
        <w:rPr>
          <w:rFonts w:ascii="Tahoma" w:hAnsi="Tahoma" w:cs="Tahoma"/>
          <w:b/>
          <w:color w:val="000000"/>
          <w:sz w:val="20"/>
          <w:szCs w:val="20"/>
        </w:rPr>
        <w:t>БАЛАНС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Активы </w:t>
      </w:r>
      <w:r w:rsidRPr="003E6C88">
        <w:rPr>
          <w:rFonts w:ascii="Tahoma" w:hAnsi="Tahoma" w:cs="Tahoma"/>
          <w:sz w:val="20"/>
          <w:szCs w:val="20"/>
        </w:rPr>
        <w:t xml:space="preserve">банка выросли на </w:t>
      </w:r>
      <w:r w:rsidRPr="003E6C88">
        <w:rPr>
          <w:rFonts w:ascii="Tahoma" w:hAnsi="Tahoma" w:cs="Tahoma"/>
          <w:b/>
          <w:sz w:val="20"/>
          <w:szCs w:val="20"/>
        </w:rPr>
        <w:t>4.5%</w:t>
      </w:r>
      <w:r w:rsidRPr="003E6C88">
        <w:rPr>
          <w:rFonts w:ascii="Tahoma" w:hAnsi="Tahoma" w:cs="Tahoma"/>
          <w:sz w:val="20"/>
          <w:szCs w:val="20"/>
        </w:rPr>
        <w:t xml:space="preserve"> по сравнению с концом 2013 года до </w:t>
      </w:r>
      <w:r w:rsidRPr="003E6C88">
        <w:rPr>
          <w:rFonts w:ascii="Tahoma" w:hAnsi="Tahoma" w:cs="Tahoma"/>
          <w:b/>
          <w:sz w:val="20"/>
          <w:szCs w:val="20"/>
        </w:rPr>
        <w:t>743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 xml:space="preserve">072.6 млн руб., </w:t>
      </w:r>
      <w:r w:rsidRPr="003E6C88">
        <w:rPr>
          <w:rFonts w:ascii="Tahoma" w:hAnsi="Tahoma" w:cs="Tahoma"/>
          <w:sz w:val="20"/>
          <w:szCs w:val="20"/>
        </w:rPr>
        <w:t>в основном за счет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 xml:space="preserve">увеличения </w:t>
      </w:r>
      <w:r w:rsidRPr="003E6C88">
        <w:rPr>
          <w:rFonts w:ascii="Tahoma" w:hAnsi="Tahoma" w:cs="Tahoma"/>
          <w:b/>
          <w:sz w:val="20"/>
          <w:szCs w:val="20"/>
        </w:rPr>
        <w:t>кредитов и авансов клиентам</w:t>
      </w:r>
      <w:r w:rsidRPr="003E6C88">
        <w:rPr>
          <w:rFonts w:ascii="Tahoma" w:hAnsi="Tahoma" w:cs="Tahoma"/>
          <w:sz w:val="20"/>
          <w:szCs w:val="20"/>
        </w:rPr>
        <w:t xml:space="preserve"> (за вычетом резервов) на </w:t>
      </w:r>
      <w:r w:rsidRPr="003E6C88">
        <w:rPr>
          <w:rFonts w:ascii="Tahoma" w:hAnsi="Tahoma" w:cs="Tahoma"/>
          <w:b/>
          <w:sz w:val="20"/>
          <w:szCs w:val="20"/>
        </w:rPr>
        <w:t>3.1%</w:t>
      </w:r>
      <w:r w:rsidRPr="003E6C88">
        <w:rPr>
          <w:rFonts w:ascii="Tahoma" w:hAnsi="Tahoma" w:cs="Tahoma"/>
          <w:sz w:val="20"/>
          <w:szCs w:val="20"/>
        </w:rPr>
        <w:t xml:space="preserve"> относительно конца 2013 года до </w:t>
      </w:r>
      <w:r w:rsidRPr="003E6C88">
        <w:rPr>
          <w:rFonts w:ascii="Tahoma" w:hAnsi="Tahoma" w:cs="Tahoma"/>
          <w:b/>
          <w:sz w:val="20"/>
          <w:szCs w:val="20"/>
        </w:rPr>
        <w:t>445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 xml:space="preserve">801.6 млн руб., </w:t>
      </w:r>
      <w:r w:rsidRPr="003E6C88">
        <w:rPr>
          <w:rFonts w:ascii="Tahoma" w:hAnsi="Tahoma" w:cs="Tahoma"/>
          <w:sz w:val="20"/>
          <w:szCs w:val="20"/>
        </w:rPr>
        <w:t xml:space="preserve">а также на фоне роста </w:t>
      </w:r>
      <w:r w:rsidRPr="003E6C88">
        <w:rPr>
          <w:rFonts w:ascii="Tahoma" w:hAnsi="Tahoma" w:cs="Tahoma"/>
          <w:b/>
          <w:sz w:val="20"/>
          <w:szCs w:val="20"/>
        </w:rPr>
        <w:t>средств в других банках в 2.6 раза до 25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703.6 млн руб.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0E42C7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sz w:val="20"/>
          <w:szCs w:val="20"/>
        </w:rPr>
        <w:t>Банк сохраняет значительный запас ликвидности.</w:t>
      </w:r>
      <w:r w:rsidRPr="003E6C88">
        <w:rPr>
          <w:rFonts w:ascii="Tahoma" w:hAnsi="Tahoma" w:cs="Tahoma"/>
          <w:b/>
          <w:sz w:val="20"/>
          <w:szCs w:val="20"/>
        </w:rPr>
        <w:t xml:space="preserve"> Ликвидные активы</w:t>
      </w:r>
      <w:r>
        <w:rPr>
          <w:rStyle w:val="FootnoteReference"/>
          <w:rFonts w:ascii="Tahoma" w:hAnsi="Tahoma" w:cs="Tahoma"/>
          <w:b/>
          <w:sz w:val="20"/>
          <w:szCs w:val="20"/>
        </w:rPr>
        <w:footnoteReference w:id="5"/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>на конец 1 квартала 2014 составили</w:t>
      </w:r>
      <w:r w:rsidRPr="003E6C88">
        <w:rPr>
          <w:rFonts w:ascii="Tahoma" w:hAnsi="Tahoma" w:cs="Tahoma"/>
          <w:b/>
          <w:sz w:val="20"/>
          <w:szCs w:val="20"/>
        </w:rPr>
        <w:t xml:space="preserve"> 230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 xml:space="preserve">757.4 млн руб., </w:t>
      </w:r>
      <w:r w:rsidRPr="003E6C88">
        <w:rPr>
          <w:rFonts w:ascii="Tahoma" w:hAnsi="Tahoma" w:cs="Tahoma"/>
          <w:sz w:val="20"/>
          <w:szCs w:val="20"/>
        </w:rPr>
        <w:t>практически не изменившись по сравнению с 231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 xml:space="preserve">562.0 млн руб. на конец 2013 года (снижение на 0.3%). </w:t>
      </w:r>
      <w:r w:rsidRPr="003E6C88">
        <w:rPr>
          <w:rFonts w:ascii="Tahoma" w:hAnsi="Tahoma" w:cs="Tahoma"/>
          <w:b/>
          <w:sz w:val="20"/>
          <w:szCs w:val="20"/>
        </w:rPr>
        <w:t xml:space="preserve">Доля ликвидных активов </w:t>
      </w:r>
      <w:r w:rsidRPr="003E6C88">
        <w:rPr>
          <w:rFonts w:ascii="Tahoma" w:hAnsi="Tahoma" w:cs="Tahoma"/>
          <w:sz w:val="20"/>
          <w:szCs w:val="20"/>
        </w:rPr>
        <w:t>в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>суммарных активах банка по состоянию на 31.03.2014 равнялась</w:t>
      </w:r>
      <w:r w:rsidRPr="003E6C88">
        <w:rPr>
          <w:rFonts w:ascii="Tahoma" w:hAnsi="Tahoma" w:cs="Tahoma"/>
          <w:b/>
          <w:sz w:val="20"/>
          <w:szCs w:val="20"/>
        </w:rPr>
        <w:t xml:space="preserve"> 31.1%, </w:t>
      </w:r>
      <w:r w:rsidRPr="003E6C88">
        <w:rPr>
          <w:rFonts w:ascii="Tahoma" w:hAnsi="Tahoma" w:cs="Tahoma"/>
          <w:sz w:val="20"/>
          <w:szCs w:val="20"/>
        </w:rPr>
        <w:t>что на</w:t>
      </w:r>
      <w:r w:rsidRPr="003E6C88">
        <w:rPr>
          <w:rFonts w:ascii="Tahoma" w:hAnsi="Tahoma" w:cs="Tahoma"/>
          <w:b/>
          <w:sz w:val="20"/>
          <w:szCs w:val="20"/>
        </w:rPr>
        <w:t xml:space="preserve"> 1.5 процентных пункта </w:t>
      </w:r>
      <w:r w:rsidRPr="003E6C88">
        <w:rPr>
          <w:rFonts w:ascii="Tahoma" w:hAnsi="Tahoma" w:cs="Tahoma"/>
          <w:sz w:val="20"/>
          <w:szCs w:val="20"/>
        </w:rPr>
        <w:t xml:space="preserve">ниже значения на 31.12.2013.  </w:t>
      </w:r>
    </w:p>
    <w:p w:rsidR="000E42C7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Кредиты и авансы клиентам до вычета резервов под обесценение </w:t>
      </w:r>
      <w:r w:rsidRPr="003E6C88">
        <w:rPr>
          <w:rFonts w:ascii="Tahoma" w:hAnsi="Tahoma" w:cs="Tahoma"/>
          <w:sz w:val="20"/>
          <w:szCs w:val="20"/>
        </w:rPr>
        <w:t xml:space="preserve">составили </w:t>
      </w:r>
      <w:r w:rsidRPr="003E6C88">
        <w:rPr>
          <w:rFonts w:ascii="Tahoma" w:hAnsi="Tahoma" w:cs="Tahoma"/>
          <w:b/>
          <w:sz w:val="20"/>
          <w:szCs w:val="20"/>
        </w:rPr>
        <w:t>464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097.7 млн руб</w:t>
      </w:r>
      <w:r w:rsidRPr="003E6C88">
        <w:rPr>
          <w:rFonts w:ascii="Tahoma" w:hAnsi="Tahoma" w:cs="Tahoma"/>
          <w:sz w:val="20"/>
          <w:szCs w:val="20"/>
        </w:rPr>
        <w:t>. по состоянию на 31.03.2014, увеличившись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 xml:space="preserve"> на </w:t>
      </w:r>
      <w:r w:rsidRPr="003E6C88">
        <w:rPr>
          <w:rFonts w:ascii="Tahoma" w:hAnsi="Tahoma" w:cs="Tahoma"/>
          <w:b/>
          <w:color w:val="000000"/>
          <w:sz w:val="20"/>
          <w:szCs w:val="20"/>
          <w:lang w:eastAsia="ru-RU"/>
        </w:rPr>
        <w:t>3.2%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 xml:space="preserve"> (или на 14</w:t>
      </w:r>
      <w:r w:rsidRPr="001C104D">
        <w:rPr>
          <w:rFonts w:ascii="Tahoma" w:hAnsi="Tahoma" w:cs="Tahoma"/>
          <w:color w:val="000000"/>
          <w:sz w:val="20"/>
          <w:szCs w:val="20"/>
          <w:lang w:eastAsia="ru-RU"/>
        </w:rPr>
        <w:t> 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 xml:space="preserve">604.8 млн руб.) по сравнению с </w:t>
      </w:r>
      <w:r w:rsidRPr="003E6C88">
        <w:rPr>
          <w:rFonts w:ascii="Tahoma" w:hAnsi="Tahoma" w:cs="Tahoma"/>
          <w:b/>
          <w:color w:val="000000"/>
          <w:sz w:val="20"/>
          <w:szCs w:val="20"/>
          <w:lang w:eastAsia="ru-RU"/>
        </w:rPr>
        <w:t>449</w:t>
      </w:r>
      <w:r w:rsidRPr="001C104D">
        <w:rPr>
          <w:rFonts w:ascii="Tahoma" w:hAnsi="Tahoma" w:cs="Tahoma"/>
          <w:b/>
          <w:color w:val="000000"/>
          <w:sz w:val="20"/>
          <w:szCs w:val="20"/>
          <w:lang w:eastAsia="ru-RU"/>
        </w:rPr>
        <w:t> </w:t>
      </w:r>
      <w:r w:rsidRPr="003E6C88">
        <w:rPr>
          <w:rFonts w:ascii="Tahoma" w:hAnsi="Tahoma" w:cs="Tahoma"/>
          <w:b/>
          <w:color w:val="000000"/>
          <w:sz w:val="20"/>
          <w:szCs w:val="20"/>
          <w:lang w:eastAsia="ru-RU"/>
        </w:rPr>
        <w:t>492.9 млн руб.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 xml:space="preserve"> на 31.12.2013, в основном благодаря росту кредитных портфелей физических лиц, малого, микро и среднего бизнеса. 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color w:val="000000"/>
          <w:sz w:val="20"/>
          <w:szCs w:val="20"/>
          <w:lang w:eastAsia="ru-RU"/>
        </w:rPr>
        <w:t>Розничный кредитный портфель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 xml:space="preserve"> за первый квартал 2014 увеличился на </w:t>
      </w:r>
      <w:r w:rsidRPr="003E6C88">
        <w:rPr>
          <w:rFonts w:ascii="Tahoma" w:hAnsi="Tahoma" w:cs="Tahoma"/>
          <w:b/>
          <w:color w:val="000000"/>
          <w:sz w:val="20"/>
          <w:szCs w:val="20"/>
          <w:lang w:eastAsia="ru-RU"/>
        </w:rPr>
        <w:t>4.7%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 xml:space="preserve">, составив </w:t>
      </w:r>
      <w:r w:rsidRPr="003E6C88">
        <w:rPr>
          <w:rFonts w:ascii="Tahoma" w:hAnsi="Tahoma" w:cs="Tahoma"/>
          <w:b/>
          <w:color w:val="000000"/>
          <w:sz w:val="20"/>
          <w:szCs w:val="20"/>
          <w:lang w:eastAsia="ru-RU"/>
        </w:rPr>
        <w:t>190</w:t>
      </w:r>
      <w:r w:rsidRPr="001C104D">
        <w:rPr>
          <w:rFonts w:ascii="Tahoma" w:hAnsi="Tahoma" w:cs="Tahoma"/>
          <w:b/>
          <w:color w:val="000000"/>
          <w:sz w:val="20"/>
          <w:szCs w:val="20"/>
          <w:lang w:eastAsia="ru-RU"/>
        </w:rPr>
        <w:t> </w:t>
      </w:r>
      <w:r w:rsidRPr="003E6C88">
        <w:rPr>
          <w:rFonts w:ascii="Tahoma" w:hAnsi="Tahoma" w:cs="Tahoma"/>
          <w:b/>
          <w:color w:val="000000"/>
          <w:sz w:val="20"/>
          <w:szCs w:val="20"/>
          <w:lang w:eastAsia="ru-RU"/>
        </w:rPr>
        <w:t>168.4 млн руб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>. Рост происходил по всем продуктам розничного портфеля: необеспеченные потребительские кредиты (+3.9% или 3</w:t>
      </w:r>
      <w:r w:rsidRPr="001C104D">
        <w:rPr>
          <w:rFonts w:ascii="Tahoma" w:hAnsi="Tahoma" w:cs="Tahoma"/>
          <w:color w:val="000000"/>
          <w:sz w:val="20"/>
          <w:szCs w:val="20"/>
          <w:lang w:eastAsia="ru-RU"/>
        </w:rPr>
        <w:t> </w:t>
      </w:r>
      <w:r w:rsidRPr="003E6C88">
        <w:rPr>
          <w:rFonts w:ascii="Tahoma" w:hAnsi="Tahoma" w:cs="Tahoma"/>
          <w:color w:val="000000"/>
          <w:sz w:val="20"/>
          <w:szCs w:val="20"/>
          <w:lang w:eastAsia="ru-RU"/>
        </w:rPr>
        <w:t xml:space="preserve">516.4 млн руб.), кредитные карты и овердрафты (+7.8% или 938.8 млн руб.), </w:t>
      </w:r>
      <w:r w:rsidRPr="003E6C88">
        <w:rPr>
          <w:rFonts w:ascii="Tahoma" w:hAnsi="Tahoma" w:cs="Tahoma"/>
          <w:sz w:val="20"/>
          <w:szCs w:val="20"/>
        </w:rPr>
        <w:t>автокредиты (+7.6% или 2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900.3 млн руб.), ипотечное кредитование (+2.7% или 1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121.5 млн руб.).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>Портфель малого и микро бизнеса</w:t>
      </w:r>
      <w:r w:rsidRPr="003E6C88">
        <w:rPr>
          <w:rFonts w:ascii="Tahoma" w:hAnsi="Tahoma" w:cs="Tahoma"/>
          <w:sz w:val="20"/>
          <w:szCs w:val="20"/>
        </w:rPr>
        <w:t xml:space="preserve"> увеличился на 6.8% по сравнению с концом 2013 года до </w:t>
      </w:r>
      <w:r w:rsidRPr="003E6C88">
        <w:rPr>
          <w:rFonts w:ascii="Tahoma" w:hAnsi="Tahoma" w:cs="Tahoma"/>
          <w:b/>
          <w:sz w:val="20"/>
          <w:szCs w:val="20"/>
        </w:rPr>
        <w:t>19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001.6 млн руб.</w:t>
      </w:r>
      <w:r w:rsidRPr="003E6C88">
        <w:rPr>
          <w:rFonts w:ascii="Tahoma" w:hAnsi="Tahoma" w:cs="Tahoma"/>
          <w:sz w:val="20"/>
          <w:szCs w:val="20"/>
        </w:rPr>
        <w:t xml:space="preserve"> благодаря расширению клиентской базы сегмента. Кредитный портфель </w:t>
      </w:r>
      <w:r w:rsidRPr="003E6C88">
        <w:rPr>
          <w:rFonts w:ascii="Tahoma" w:hAnsi="Tahoma" w:cs="Tahoma"/>
          <w:b/>
          <w:sz w:val="20"/>
          <w:szCs w:val="20"/>
        </w:rPr>
        <w:t>среднего бизнеса</w:t>
      </w:r>
      <w:r w:rsidRPr="003E6C88">
        <w:rPr>
          <w:rFonts w:ascii="Tahoma" w:hAnsi="Tahoma" w:cs="Tahoma"/>
          <w:sz w:val="20"/>
          <w:szCs w:val="20"/>
        </w:rPr>
        <w:t xml:space="preserve"> вырос на 10.1% или 1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666.2 млн руб. до 18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 xml:space="preserve">196.2 млн руб. по итогам 1 квартала 2014 года. В целом, </w:t>
      </w:r>
      <w:r w:rsidRPr="003E6C88">
        <w:rPr>
          <w:rFonts w:ascii="Tahoma" w:hAnsi="Tahoma" w:cs="Tahoma"/>
          <w:b/>
          <w:sz w:val="20"/>
          <w:szCs w:val="20"/>
        </w:rPr>
        <w:t>корпоративный кредитный портфель</w:t>
      </w:r>
      <w:r w:rsidRPr="003E6C88">
        <w:rPr>
          <w:rFonts w:ascii="Tahoma" w:hAnsi="Tahoma" w:cs="Tahoma"/>
          <w:sz w:val="20"/>
          <w:szCs w:val="20"/>
        </w:rPr>
        <w:t xml:space="preserve"> увеличился на </w:t>
      </w:r>
      <w:r w:rsidRPr="003E6C88">
        <w:rPr>
          <w:rFonts w:ascii="Tahoma" w:hAnsi="Tahoma" w:cs="Tahoma"/>
          <w:b/>
          <w:sz w:val="20"/>
          <w:szCs w:val="20"/>
        </w:rPr>
        <w:t>2.0%</w:t>
      </w:r>
      <w:r w:rsidRPr="003E6C88">
        <w:rPr>
          <w:rFonts w:ascii="Tahoma" w:hAnsi="Tahoma" w:cs="Tahoma"/>
          <w:sz w:val="20"/>
          <w:szCs w:val="20"/>
        </w:rPr>
        <w:t xml:space="preserve"> до </w:t>
      </w:r>
      <w:r w:rsidRPr="003E6C88">
        <w:rPr>
          <w:rFonts w:ascii="Tahoma" w:hAnsi="Tahoma" w:cs="Tahoma"/>
          <w:b/>
          <w:sz w:val="20"/>
          <w:szCs w:val="20"/>
        </w:rPr>
        <w:t>254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895.5 млн руб.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Доля индивидуально обесцененных кредитов </w:t>
      </w:r>
      <w:r w:rsidRPr="003E6C88">
        <w:rPr>
          <w:rFonts w:ascii="Tahoma" w:hAnsi="Tahoma" w:cs="Tahoma"/>
          <w:sz w:val="20"/>
          <w:szCs w:val="20"/>
        </w:rPr>
        <w:t>в суммарном кредитном портфеле банка по итогам 3 месяцев 2014 года составила</w:t>
      </w:r>
      <w:r w:rsidRPr="003E6C88">
        <w:rPr>
          <w:rFonts w:ascii="Tahoma" w:hAnsi="Tahoma" w:cs="Tahoma"/>
          <w:b/>
          <w:sz w:val="20"/>
          <w:szCs w:val="20"/>
        </w:rPr>
        <w:t xml:space="preserve"> 5.2% </w:t>
      </w:r>
      <w:r w:rsidRPr="003E6C88">
        <w:rPr>
          <w:rFonts w:ascii="Tahoma" w:hAnsi="Tahoma" w:cs="Tahoma"/>
          <w:sz w:val="20"/>
          <w:szCs w:val="20"/>
        </w:rPr>
        <w:t>(+0.5 процентных пункта относительно значения на 31.12.2013) на фоне повышения объема индивидуально обесцененных кредитов на 14.4% до 24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260.1 млн руб.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sz w:val="20"/>
          <w:szCs w:val="20"/>
        </w:rPr>
        <w:t xml:space="preserve">Объем сформированных банком </w:t>
      </w:r>
      <w:r w:rsidRPr="003E6C88">
        <w:rPr>
          <w:rFonts w:ascii="Tahoma" w:hAnsi="Tahoma" w:cs="Tahoma"/>
          <w:b/>
          <w:sz w:val="20"/>
          <w:szCs w:val="20"/>
        </w:rPr>
        <w:t xml:space="preserve">резервов на возможные потери по ссудам </w:t>
      </w:r>
      <w:r w:rsidRPr="003E6C88">
        <w:rPr>
          <w:rFonts w:ascii="Tahoma" w:hAnsi="Tahoma" w:cs="Tahoma"/>
          <w:sz w:val="20"/>
          <w:szCs w:val="20"/>
        </w:rPr>
        <w:t>увеличился на 5.9% относительно конца 2013 года и составил 18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 xml:space="preserve">296.1 млн руб. по состоянию на 31.03.2014. </w:t>
      </w:r>
    </w:p>
    <w:p w:rsidR="000E42C7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Объем средств клиентов </w:t>
      </w:r>
      <w:r w:rsidRPr="003E6C88">
        <w:rPr>
          <w:rFonts w:ascii="Tahoma" w:hAnsi="Tahoma" w:cs="Tahoma"/>
          <w:sz w:val="20"/>
          <w:szCs w:val="20"/>
        </w:rPr>
        <w:t xml:space="preserve">на 31.03.2014 составил </w:t>
      </w:r>
      <w:r w:rsidRPr="003E6C88">
        <w:rPr>
          <w:rFonts w:ascii="Tahoma" w:hAnsi="Tahoma" w:cs="Tahoma"/>
          <w:b/>
          <w:sz w:val="20"/>
          <w:szCs w:val="20"/>
        </w:rPr>
        <w:t>479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617.8 млн руб.</w:t>
      </w:r>
      <w:r w:rsidRPr="003E6C88">
        <w:rPr>
          <w:rFonts w:ascii="Tahoma" w:hAnsi="Tahoma" w:cs="Tahoma"/>
          <w:sz w:val="20"/>
          <w:szCs w:val="20"/>
        </w:rPr>
        <w:t>, продемонстрировав рост на 6.0% (или на 27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145.0 млн руб.) по сравнению с 452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472.8 млн руб. на 31.12.2013 за счет роста остатков по текущим счетам физических и юридических лиц (+5.4% до 113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032.0 млн руб. и +16.6% до 129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887.5 млн руб. соответственно), а также увеличения срочных депозитов государственных и общественных организаций (с 215.7 млн руб. до 21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798.4 млн руб. по итогам трех месяцев 2014 года).</w:t>
      </w:r>
    </w:p>
    <w:p w:rsidR="000E42C7" w:rsidRPr="003E6C88" w:rsidRDefault="000E42C7" w:rsidP="00564119">
      <w:pPr>
        <w:pStyle w:val="CommentText"/>
        <w:spacing w:before="120" w:after="120"/>
        <w:jc w:val="both"/>
        <w:rPr>
          <w:rFonts w:ascii="Tahoma" w:hAnsi="Tahoma" w:cs="Tahoma"/>
        </w:rPr>
      </w:pPr>
      <w:r w:rsidRPr="003E6C88">
        <w:rPr>
          <w:rFonts w:ascii="Tahoma" w:hAnsi="Tahoma" w:cs="Tahoma"/>
          <w:b/>
        </w:rPr>
        <w:t>Соотношение кредитов и депозитов (</w:t>
      </w:r>
      <w:r w:rsidRPr="003E6C88">
        <w:rPr>
          <w:rFonts w:ascii="Tahoma" w:hAnsi="Tahoma" w:cs="Tahoma"/>
          <w:b/>
          <w:lang w:val="en-US"/>
        </w:rPr>
        <w:t>loan</w:t>
      </w:r>
      <w:r w:rsidRPr="003E6C88">
        <w:rPr>
          <w:rFonts w:ascii="Tahoma" w:hAnsi="Tahoma" w:cs="Tahoma"/>
          <w:b/>
        </w:rPr>
        <w:t>-</w:t>
      </w:r>
      <w:r w:rsidRPr="003E6C88">
        <w:rPr>
          <w:rFonts w:ascii="Tahoma" w:hAnsi="Tahoma" w:cs="Tahoma"/>
          <w:b/>
          <w:lang w:val="en-US"/>
        </w:rPr>
        <w:t>to</w:t>
      </w:r>
      <w:r w:rsidRPr="003E6C88">
        <w:rPr>
          <w:rFonts w:ascii="Tahoma" w:hAnsi="Tahoma" w:cs="Tahoma"/>
          <w:b/>
        </w:rPr>
        <w:t>-</w:t>
      </w:r>
      <w:r w:rsidRPr="003E6C88">
        <w:rPr>
          <w:rFonts w:ascii="Tahoma" w:hAnsi="Tahoma" w:cs="Tahoma"/>
          <w:b/>
          <w:lang w:val="en-US"/>
        </w:rPr>
        <w:t>deposit</w:t>
      </w:r>
      <w:r w:rsidRPr="003E6C88">
        <w:rPr>
          <w:rFonts w:ascii="Tahoma" w:hAnsi="Tahoma" w:cs="Tahoma"/>
          <w:b/>
        </w:rPr>
        <w:t xml:space="preserve"> </w:t>
      </w:r>
      <w:r w:rsidRPr="003E6C88">
        <w:rPr>
          <w:rFonts w:ascii="Tahoma" w:hAnsi="Tahoma" w:cs="Tahoma"/>
          <w:b/>
          <w:lang w:val="en-US"/>
        </w:rPr>
        <w:t>ratio</w:t>
      </w:r>
      <w:r w:rsidRPr="003E6C88">
        <w:rPr>
          <w:rFonts w:ascii="Tahoma" w:hAnsi="Tahoma" w:cs="Tahoma"/>
          <w:b/>
        </w:rPr>
        <w:t xml:space="preserve">) </w:t>
      </w:r>
      <w:r w:rsidRPr="003E6C88">
        <w:rPr>
          <w:rFonts w:ascii="Tahoma" w:hAnsi="Tahoma" w:cs="Tahoma"/>
        </w:rPr>
        <w:t xml:space="preserve">по итогам 3 месяцев 2014 года оставалось на комфортном уровне и составило </w:t>
      </w:r>
      <w:r w:rsidRPr="003E6C88">
        <w:rPr>
          <w:rFonts w:ascii="Tahoma" w:hAnsi="Tahoma" w:cs="Tahoma"/>
          <w:b/>
        </w:rPr>
        <w:t>96.8%,</w:t>
      </w:r>
      <w:r w:rsidRPr="003E6C88">
        <w:rPr>
          <w:rFonts w:ascii="Tahoma" w:hAnsi="Tahoma" w:cs="Tahoma"/>
        </w:rPr>
        <w:t xml:space="preserve"> сократившись на </w:t>
      </w:r>
      <w:r w:rsidRPr="003E6C88">
        <w:rPr>
          <w:rFonts w:ascii="Tahoma" w:hAnsi="Tahoma" w:cs="Tahoma"/>
          <w:b/>
        </w:rPr>
        <w:t>2.5 процентных пункта</w:t>
      </w:r>
      <w:r w:rsidRPr="003E6C88">
        <w:rPr>
          <w:rFonts w:ascii="Tahoma" w:hAnsi="Tahoma" w:cs="Tahoma"/>
        </w:rPr>
        <w:t xml:space="preserve"> по сравнению с </w:t>
      </w:r>
      <w:r w:rsidRPr="003E6C88">
        <w:rPr>
          <w:rFonts w:ascii="Tahoma" w:hAnsi="Tahoma" w:cs="Tahoma"/>
          <w:b/>
        </w:rPr>
        <w:t>99.3%</w:t>
      </w:r>
      <w:r w:rsidRPr="003E6C88">
        <w:rPr>
          <w:rFonts w:ascii="Tahoma" w:hAnsi="Tahoma" w:cs="Tahoma"/>
        </w:rPr>
        <w:t xml:space="preserve"> в конце 2013 года.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Срочные заемные средства, полученные от Материнского банка, </w:t>
      </w:r>
      <w:r w:rsidRPr="003E6C88">
        <w:rPr>
          <w:rFonts w:ascii="Tahoma" w:hAnsi="Tahoma" w:cs="Tahoma"/>
          <w:sz w:val="20"/>
          <w:szCs w:val="20"/>
        </w:rPr>
        <w:t>увеличились на</w:t>
      </w:r>
      <w:r w:rsidRPr="003E6C88">
        <w:rPr>
          <w:rFonts w:ascii="Tahoma" w:hAnsi="Tahoma" w:cs="Tahoma"/>
          <w:b/>
          <w:sz w:val="20"/>
          <w:szCs w:val="20"/>
        </w:rPr>
        <w:t xml:space="preserve"> 7.0% </w:t>
      </w:r>
      <w:r w:rsidRPr="003E6C88">
        <w:rPr>
          <w:rFonts w:ascii="Tahoma" w:hAnsi="Tahoma" w:cs="Tahoma"/>
          <w:sz w:val="20"/>
          <w:szCs w:val="20"/>
        </w:rPr>
        <w:t>или на</w:t>
      </w:r>
      <w:r w:rsidRPr="003E6C88">
        <w:rPr>
          <w:rFonts w:ascii="Tahoma" w:hAnsi="Tahoma" w:cs="Tahoma"/>
          <w:b/>
          <w:sz w:val="20"/>
          <w:szCs w:val="20"/>
        </w:rPr>
        <w:t xml:space="preserve"> 2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 xml:space="preserve">322.3 млн руб. </w:t>
      </w:r>
      <w:r w:rsidRPr="003E6C88">
        <w:rPr>
          <w:rFonts w:ascii="Tahoma" w:hAnsi="Tahoma" w:cs="Tahoma"/>
          <w:sz w:val="20"/>
          <w:szCs w:val="20"/>
        </w:rPr>
        <w:t>относительно конца 2013 года за счет валютного эффекта и составили 35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494.6 млн руб. Доля срочного материнского фондирования в суммарных обязательствах банка практически не изменилась (небольшой рост на 0.1 процентный пункт до 5.7% по итогам 1 квартала 2014).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Собственные средства </w:t>
      </w:r>
      <w:r w:rsidRPr="003E6C88">
        <w:rPr>
          <w:rFonts w:ascii="Tahoma" w:hAnsi="Tahoma" w:cs="Tahoma"/>
          <w:sz w:val="20"/>
          <w:szCs w:val="20"/>
        </w:rPr>
        <w:t xml:space="preserve">банка по итогам 1 квартала 2014 составили </w:t>
      </w:r>
      <w:r w:rsidRPr="003E6C88">
        <w:rPr>
          <w:rFonts w:ascii="Tahoma" w:hAnsi="Tahoma" w:cs="Tahoma"/>
          <w:b/>
          <w:sz w:val="20"/>
          <w:szCs w:val="20"/>
        </w:rPr>
        <w:t>121</w:t>
      </w:r>
      <w:r w:rsidRPr="001C104D">
        <w:rPr>
          <w:rFonts w:ascii="Tahoma" w:hAnsi="Tahoma" w:cs="Tahoma"/>
          <w:b/>
          <w:sz w:val="20"/>
          <w:szCs w:val="20"/>
        </w:rPr>
        <w:t> </w:t>
      </w:r>
      <w:r w:rsidRPr="003E6C88">
        <w:rPr>
          <w:rFonts w:ascii="Tahoma" w:hAnsi="Tahoma" w:cs="Tahoma"/>
          <w:b/>
          <w:sz w:val="20"/>
          <w:szCs w:val="20"/>
        </w:rPr>
        <w:t>222.4 млн руб.</w:t>
      </w:r>
      <w:r w:rsidRPr="003E6C88">
        <w:rPr>
          <w:rFonts w:ascii="Tahoma" w:hAnsi="Tahoma" w:cs="Tahoma"/>
          <w:sz w:val="20"/>
          <w:szCs w:val="20"/>
        </w:rPr>
        <w:t>, увеличившись на 4.7% (или на 5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>438.1 млн руб.) по сравнению с 115</w:t>
      </w:r>
      <w:r w:rsidRPr="001C104D">
        <w:rPr>
          <w:rFonts w:ascii="Tahoma" w:hAnsi="Tahoma" w:cs="Tahoma"/>
          <w:sz w:val="20"/>
          <w:szCs w:val="20"/>
        </w:rPr>
        <w:t> </w:t>
      </w:r>
      <w:r w:rsidRPr="003E6C88">
        <w:rPr>
          <w:rFonts w:ascii="Tahoma" w:hAnsi="Tahoma" w:cs="Tahoma"/>
          <w:sz w:val="20"/>
          <w:szCs w:val="20"/>
        </w:rPr>
        <w:t xml:space="preserve">784.3 млн руб. на конец 2013 года за счет полученной банком чистой прибыли по итогам трех месяцев 2014. 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0E42C7" w:rsidRPr="003E6C88" w:rsidRDefault="000E42C7" w:rsidP="00564119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E6C88">
        <w:rPr>
          <w:rFonts w:ascii="Tahoma" w:hAnsi="Tahoma" w:cs="Tahoma"/>
          <w:b/>
          <w:color w:val="000000"/>
          <w:sz w:val="20"/>
          <w:szCs w:val="20"/>
        </w:rPr>
        <w:t>ДОХОДНОСТЬ И ДОСТАТОЧНОСТЬ КАПИТАЛА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>Коэффициент доходности капитала (</w:t>
      </w:r>
      <w:r w:rsidRPr="003E6C88">
        <w:rPr>
          <w:rFonts w:ascii="Tahoma" w:hAnsi="Tahoma" w:cs="Tahoma"/>
          <w:b/>
          <w:sz w:val="20"/>
          <w:szCs w:val="20"/>
          <w:lang w:val="en-US"/>
        </w:rPr>
        <w:t>ROE</w:t>
      </w:r>
      <w:r w:rsidRPr="003E6C88">
        <w:rPr>
          <w:rFonts w:ascii="Tahoma" w:hAnsi="Tahoma" w:cs="Tahoma"/>
          <w:b/>
          <w:sz w:val="20"/>
          <w:szCs w:val="20"/>
        </w:rPr>
        <w:t>) до налогообложения</w:t>
      </w:r>
      <w:r w:rsidRPr="003E6C88">
        <w:rPr>
          <w:rFonts w:ascii="Tahoma" w:hAnsi="Tahoma" w:cs="Tahoma"/>
          <w:sz w:val="20"/>
          <w:szCs w:val="20"/>
        </w:rPr>
        <w:t xml:space="preserve"> на 31.03.2014 составил</w:t>
      </w:r>
      <w:r w:rsidRPr="003E6C88">
        <w:rPr>
          <w:rFonts w:ascii="Tahoma" w:hAnsi="Tahoma" w:cs="Tahoma"/>
          <w:b/>
          <w:sz w:val="20"/>
          <w:szCs w:val="20"/>
        </w:rPr>
        <w:t xml:space="preserve"> 22.7%, </w:t>
      </w:r>
      <w:r w:rsidRPr="003E6C88">
        <w:rPr>
          <w:rFonts w:ascii="Tahoma" w:hAnsi="Tahoma" w:cs="Tahoma"/>
          <w:sz w:val="20"/>
          <w:szCs w:val="20"/>
        </w:rPr>
        <w:t>сократившись на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>0.4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 xml:space="preserve">процентных пункта относительно значения на 31.12.2013. </w:t>
      </w:r>
      <w:r w:rsidRPr="003E6C88">
        <w:rPr>
          <w:rFonts w:ascii="Tahoma" w:hAnsi="Tahoma" w:cs="Tahoma"/>
          <w:b/>
          <w:sz w:val="20"/>
          <w:szCs w:val="20"/>
        </w:rPr>
        <w:t>Коэффициент доходности капитала (</w:t>
      </w:r>
      <w:r w:rsidRPr="003E6C88">
        <w:rPr>
          <w:rFonts w:ascii="Tahoma" w:hAnsi="Tahoma" w:cs="Tahoma"/>
          <w:b/>
          <w:sz w:val="20"/>
          <w:szCs w:val="20"/>
          <w:lang w:val="en-US"/>
        </w:rPr>
        <w:t>ROE</w:t>
      </w:r>
      <w:r w:rsidRPr="003E6C88">
        <w:rPr>
          <w:rFonts w:ascii="Tahoma" w:hAnsi="Tahoma" w:cs="Tahoma"/>
          <w:b/>
          <w:sz w:val="20"/>
          <w:szCs w:val="20"/>
        </w:rPr>
        <w:t xml:space="preserve">) после налогообложения </w:t>
      </w:r>
      <w:r w:rsidRPr="003E6C88">
        <w:rPr>
          <w:rFonts w:ascii="Tahoma" w:hAnsi="Tahoma" w:cs="Tahoma"/>
          <w:sz w:val="20"/>
          <w:szCs w:val="20"/>
        </w:rPr>
        <w:t xml:space="preserve">практически не изменился относительно значения на конец 2013 года (рост на 0.1 процентных пункта) и составил </w:t>
      </w:r>
      <w:r w:rsidRPr="003E6C88">
        <w:rPr>
          <w:rFonts w:ascii="Tahoma" w:hAnsi="Tahoma" w:cs="Tahoma"/>
          <w:b/>
          <w:sz w:val="20"/>
          <w:szCs w:val="20"/>
        </w:rPr>
        <w:t>18.4%.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bCs/>
          <w:color w:val="000000"/>
          <w:sz w:val="20"/>
          <w:szCs w:val="20"/>
          <w:lang w:eastAsia="ru-RU"/>
        </w:rPr>
      </w:pPr>
      <w:r w:rsidRPr="003E6C88">
        <w:rPr>
          <w:rFonts w:ascii="Tahoma" w:hAnsi="Tahoma" w:cs="Tahoma"/>
          <w:b/>
          <w:sz w:val="20"/>
          <w:szCs w:val="20"/>
        </w:rPr>
        <w:t xml:space="preserve">Коэффициент достаточности капитала по Базель </w:t>
      </w:r>
      <w:r w:rsidRPr="003E6C88">
        <w:rPr>
          <w:rFonts w:ascii="Tahoma" w:hAnsi="Tahoma" w:cs="Tahoma"/>
          <w:b/>
          <w:sz w:val="20"/>
          <w:szCs w:val="20"/>
          <w:lang w:val="en-US"/>
        </w:rPr>
        <w:t>II</w:t>
      </w:r>
      <w:r w:rsidRPr="003E6C88">
        <w:rPr>
          <w:rFonts w:ascii="Tahoma" w:hAnsi="Tahoma" w:cs="Tahoma"/>
          <w:b/>
          <w:sz w:val="20"/>
          <w:szCs w:val="20"/>
        </w:rPr>
        <w:t xml:space="preserve"> </w:t>
      </w:r>
      <w:r w:rsidRPr="003E6C88">
        <w:rPr>
          <w:rFonts w:ascii="Tahoma" w:hAnsi="Tahoma" w:cs="Tahoma"/>
          <w:sz w:val="20"/>
          <w:szCs w:val="20"/>
        </w:rPr>
        <w:t xml:space="preserve">по итогам 1 квартала 2014 года составил </w:t>
      </w:r>
      <w:r w:rsidRPr="003E6C88">
        <w:rPr>
          <w:rFonts w:ascii="Tahoma" w:hAnsi="Tahoma" w:cs="Tahoma"/>
          <w:b/>
          <w:sz w:val="20"/>
          <w:szCs w:val="20"/>
        </w:rPr>
        <w:t>19.2%,</w:t>
      </w:r>
      <w:r w:rsidRPr="003E6C88">
        <w:rPr>
          <w:rFonts w:ascii="Tahoma" w:hAnsi="Tahoma" w:cs="Tahoma"/>
          <w:sz w:val="20"/>
          <w:szCs w:val="20"/>
        </w:rPr>
        <w:t xml:space="preserve"> сократившись на 0.3 процентных пункта по сравнению с </w:t>
      </w:r>
      <w:r w:rsidRPr="003E6C88">
        <w:rPr>
          <w:rFonts w:ascii="Tahoma" w:hAnsi="Tahoma" w:cs="Tahoma"/>
          <w:b/>
          <w:sz w:val="20"/>
          <w:szCs w:val="20"/>
        </w:rPr>
        <w:t>19.5%</w:t>
      </w:r>
      <w:r w:rsidRPr="003E6C88">
        <w:rPr>
          <w:rFonts w:ascii="Tahoma" w:hAnsi="Tahoma" w:cs="Tahoma"/>
          <w:sz w:val="20"/>
          <w:szCs w:val="20"/>
        </w:rPr>
        <w:t xml:space="preserve"> по состоянию на 31.12.2013. </w:t>
      </w: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0E42C7" w:rsidRPr="003E6C88" w:rsidRDefault="000E42C7" w:rsidP="00564119">
      <w:pPr>
        <w:pStyle w:val="ListParagraph"/>
        <w:spacing w:before="120" w:after="120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E6C88">
        <w:rPr>
          <w:rFonts w:ascii="Tahoma" w:hAnsi="Tahoma" w:cs="Tahoma"/>
          <w:b/>
          <w:sz w:val="20"/>
          <w:szCs w:val="20"/>
        </w:rPr>
        <w:t>Коэффициент достаточности капитала (Н-1)</w:t>
      </w:r>
      <w:r w:rsidRPr="003E6C88">
        <w:rPr>
          <w:rFonts w:ascii="Tahoma" w:hAnsi="Tahoma" w:cs="Tahoma"/>
          <w:sz w:val="20"/>
          <w:szCs w:val="20"/>
        </w:rPr>
        <w:t xml:space="preserve"> по российским стандартам на 01.04.2014 составил </w:t>
      </w:r>
      <w:r w:rsidRPr="003E6C88">
        <w:rPr>
          <w:rFonts w:ascii="Tahoma" w:hAnsi="Tahoma" w:cs="Tahoma"/>
          <w:b/>
          <w:sz w:val="20"/>
          <w:szCs w:val="20"/>
        </w:rPr>
        <w:t>13.5%</w:t>
      </w:r>
      <w:r w:rsidRPr="003E6C88">
        <w:rPr>
          <w:rFonts w:ascii="Tahoma" w:hAnsi="Tahoma" w:cs="Tahoma"/>
          <w:sz w:val="20"/>
          <w:szCs w:val="20"/>
        </w:rPr>
        <w:t xml:space="preserve">, увеличившись на 0.5 процентных пункта по сравнению с 13.0% по состоянию на 01.01.2014. </w:t>
      </w:r>
    </w:p>
    <w:p w:rsidR="000E42C7" w:rsidRPr="00A05BBB" w:rsidRDefault="000E42C7" w:rsidP="00564119">
      <w:pPr>
        <w:spacing w:before="120" w:after="1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2C7" w:rsidRPr="00825D86" w:rsidRDefault="000E42C7" w:rsidP="00564119">
      <w:pPr>
        <w:spacing w:before="120" w:after="120"/>
        <w:ind w:right="-5"/>
        <w:jc w:val="both"/>
        <w:rPr>
          <w:rFonts w:ascii="Tahoma" w:hAnsi="Tahoma" w:cs="Tahoma"/>
          <w:sz w:val="16"/>
          <w:szCs w:val="16"/>
        </w:rPr>
      </w:pPr>
      <w:bookmarkStart w:id="1" w:name="OLE_LINK1"/>
      <w:r w:rsidRPr="00825D86">
        <w:rPr>
          <w:rFonts w:ascii="Tahoma" w:hAnsi="Tahoma" w:cs="Tahoma"/>
          <w:sz w:val="16"/>
          <w:szCs w:val="16"/>
          <w:u w:val="single"/>
        </w:rPr>
        <w:t>ЗАО «Райффайзенбанк»</w:t>
      </w:r>
      <w:r w:rsidRPr="00825D86">
        <w:rPr>
          <w:rFonts w:ascii="Tahoma" w:hAnsi="Tahoma" w:cs="Tahoma"/>
          <w:sz w:val="16"/>
          <w:szCs w:val="16"/>
        </w:rPr>
        <w:t xml:space="preserve"> является дочерней структурой </w:t>
      </w:r>
      <w:proofErr w:type="spellStart"/>
      <w:r w:rsidRPr="00825D86">
        <w:rPr>
          <w:rFonts w:ascii="Tahoma" w:hAnsi="Tahoma" w:cs="Tahoma"/>
          <w:sz w:val="16"/>
          <w:szCs w:val="16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Банк </w:t>
      </w:r>
      <w:proofErr w:type="spellStart"/>
      <w:r w:rsidRPr="00825D86">
        <w:rPr>
          <w:rFonts w:ascii="Tahoma" w:hAnsi="Tahoma" w:cs="Tahoma"/>
          <w:sz w:val="16"/>
          <w:szCs w:val="16"/>
        </w:rPr>
        <w:t>Интернациональ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АГ. ЗАО «Райффайзенбанк» занимает 11-е место по размеру активов по</w:t>
      </w:r>
      <w:r w:rsidRPr="00825D86">
        <w:rPr>
          <w:rFonts w:ascii="Tahoma" w:hAnsi="Tahoma" w:cs="Tahoma"/>
          <w:color w:val="000000"/>
          <w:sz w:val="16"/>
          <w:szCs w:val="16"/>
        </w:rPr>
        <w:t xml:space="preserve"> результатам 1-го квартала </w:t>
      </w:r>
      <w:r w:rsidRPr="00825D86">
        <w:rPr>
          <w:rFonts w:ascii="Tahoma" w:hAnsi="Tahoma" w:cs="Tahoma"/>
          <w:sz w:val="16"/>
          <w:szCs w:val="16"/>
        </w:rPr>
        <w:t>2014 года («Интерфакс-ЦЭА»). Согласно данным «Интерфакс-ЦЭА» ЗАО «Райффайзенбанк» находится на 5-м месте в России по объему средств частных лиц и 10-м месте по объему кредитов для частных лиц по результатам 1-го квартала 2014 года.</w:t>
      </w:r>
    </w:p>
    <w:bookmarkEnd w:id="1"/>
    <w:p w:rsidR="000E42C7" w:rsidRPr="003E6C88" w:rsidRDefault="000E42C7" w:rsidP="00564119">
      <w:pPr>
        <w:spacing w:before="120" w:after="120"/>
        <w:ind w:right="-5"/>
        <w:jc w:val="both"/>
        <w:rPr>
          <w:rFonts w:ascii="Tahoma" w:hAnsi="Tahoma" w:cs="Tahoma"/>
          <w:sz w:val="16"/>
          <w:szCs w:val="16"/>
        </w:rPr>
      </w:pPr>
      <w:proofErr w:type="spellStart"/>
      <w:r w:rsidRPr="00825D86">
        <w:rPr>
          <w:rFonts w:ascii="Tahoma" w:hAnsi="Tahoma" w:cs="Tahoma"/>
          <w:sz w:val="16"/>
          <w:szCs w:val="16"/>
          <w:u w:val="single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  <w:u w:val="single"/>
        </w:rPr>
        <w:t xml:space="preserve"> Банк </w:t>
      </w:r>
      <w:proofErr w:type="spellStart"/>
      <w:r w:rsidRPr="00825D86">
        <w:rPr>
          <w:rFonts w:ascii="Tahoma" w:hAnsi="Tahoma" w:cs="Tahoma"/>
          <w:sz w:val="16"/>
          <w:szCs w:val="16"/>
          <w:u w:val="single"/>
        </w:rPr>
        <w:t>Интернациональ</w:t>
      </w:r>
      <w:proofErr w:type="spellEnd"/>
      <w:r w:rsidRPr="00825D86">
        <w:rPr>
          <w:rFonts w:ascii="Tahoma" w:hAnsi="Tahoma" w:cs="Tahoma"/>
          <w:sz w:val="16"/>
          <w:szCs w:val="16"/>
          <w:u w:val="single"/>
        </w:rPr>
        <w:t xml:space="preserve"> АГ</w:t>
      </w:r>
      <w:r w:rsidRPr="00825D86">
        <w:rPr>
          <w:rFonts w:ascii="Tahoma" w:hAnsi="Tahoma" w:cs="Tahoma"/>
          <w:sz w:val="16"/>
          <w:szCs w:val="16"/>
        </w:rPr>
        <w:t xml:space="preserve"> является ведущим корпоративным и инвестиционным банком на финансовых рынках Австрии и в странах Центральной и Восточной Европы. В Центральной и Восточной Европе </w:t>
      </w:r>
      <w:proofErr w:type="spellStart"/>
      <w:r w:rsidRPr="00825D86">
        <w:rPr>
          <w:rFonts w:ascii="Tahoma" w:hAnsi="Tahoma" w:cs="Tahoma"/>
          <w:sz w:val="16"/>
          <w:szCs w:val="16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Банк </w:t>
      </w:r>
      <w:proofErr w:type="spellStart"/>
      <w:r w:rsidRPr="00825D86">
        <w:rPr>
          <w:rFonts w:ascii="Tahoma" w:hAnsi="Tahoma" w:cs="Tahoma"/>
          <w:sz w:val="16"/>
          <w:szCs w:val="16"/>
        </w:rPr>
        <w:t>Интернациональ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управляет обширной сетью дочерних банков, лизинговых компаний и широким спектром провайдеров других специализированных финансовых услуг на 15 рынках. </w:t>
      </w:r>
      <w:proofErr w:type="spellStart"/>
      <w:r w:rsidRPr="00825D86">
        <w:rPr>
          <w:rFonts w:ascii="Tahoma" w:hAnsi="Tahoma" w:cs="Tahoma"/>
          <w:sz w:val="16"/>
          <w:szCs w:val="16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Банк </w:t>
      </w:r>
      <w:proofErr w:type="spellStart"/>
      <w:r w:rsidRPr="00825D86">
        <w:rPr>
          <w:rFonts w:ascii="Tahoma" w:hAnsi="Tahoma" w:cs="Tahoma"/>
          <w:sz w:val="16"/>
          <w:szCs w:val="16"/>
        </w:rPr>
        <w:t>Интернациональ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 — единственный австрийский банк, работающий и в мировых финансовых центрах, и на азиатском рынке, который является его следующим </w:t>
      </w:r>
      <w:r w:rsidRPr="00825D86">
        <w:rPr>
          <w:rFonts w:ascii="Tahoma" w:hAnsi="Tahoma" w:cs="Tahoma"/>
          <w:sz w:val="16"/>
          <w:szCs w:val="16"/>
        </w:rPr>
        <w:lastRenderedPageBreak/>
        <w:t xml:space="preserve">центром внимания. </w:t>
      </w:r>
      <w:r w:rsidRPr="00825D86">
        <w:rPr>
          <w:rFonts w:ascii="Tahoma" w:hAnsi="Tahoma" w:cs="Tahoma"/>
          <w:color w:val="000000"/>
          <w:sz w:val="16"/>
          <w:szCs w:val="16"/>
        </w:rPr>
        <w:t>Около 57 000 сотрудников банка обслуживают порядка 14,5 миллиона клиентов в 3 000 его отделениях</w:t>
      </w:r>
      <w:r w:rsidRPr="00825D86">
        <w:rPr>
          <w:rFonts w:ascii="Tahoma" w:hAnsi="Tahoma" w:cs="Tahoma"/>
          <w:sz w:val="16"/>
          <w:szCs w:val="16"/>
        </w:rPr>
        <w:t xml:space="preserve">, большинство которых расположено в Центральной и Восточной Европе. </w:t>
      </w:r>
      <w:proofErr w:type="spellStart"/>
      <w:r w:rsidRPr="00825D86">
        <w:rPr>
          <w:rFonts w:ascii="Tahoma" w:hAnsi="Tahoma" w:cs="Tahoma"/>
          <w:sz w:val="16"/>
          <w:szCs w:val="16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Банк </w:t>
      </w:r>
      <w:proofErr w:type="spellStart"/>
      <w:r w:rsidRPr="00825D86">
        <w:rPr>
          <w:rFonts w:ascii="Tahoma" w:hAnsi="Tahoma" w:cs="Tahoma"/>
          <w:sz w:val="16"/>
          <w:szCs w:val="16"/>
        </w:rPr>
        <w:t>Интернациональ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является полностью консолидированной дочерней структурой </w:t>
      </w:r>
      <w:proofErr w:type="spellStart"/>
      <w:r w:rsidRPr="00825D86">
        <w:rPr>
          <w:rFonts w:ascii="Tahoma" w:hAnsi="Tahoma" w:cs="Tahoma"/>
          <w:sz w:val="16"/>
          <w:szCs w:val="16"/>
          <w:u w:val="single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  <w:u w:val="single"/>
        </w:rPr>
        <w:t xml:space="preserve"> </w:t>
      </w:r>
      <w:proofErr w:type="spellStart"/>
      <w:r w:rsidRPr="00825D86">
        <w:rPr>
          <w:rFonts w:ascii="Tahoma" w:hAnsi="Tahoma" w:cs="Tahoma"/>
          <w:sz w:val="16"/>
          <w:szCs w:val="16"/>
          <w:u w:val="single"/>
        </w:rPr>
        <w:t>Центральбанк</w:t>
      </w:r>
      <w:proofErr w:type="spellEnd"/>
      <w:r w:rsidRPr="00825D86">
        <w:rPr>
          <w:rFonts w:ascii="Tahoma" w:hAnsi="Tahoma" w:cs="Tahoma"/>
          <w:sz w:val="16"/>
          <w:szCs w:val="16"/>
          <w:u w:val="single"/>
        </w:rPr>
        <w:t xml:space="preserve"> Австрия АГ (РЦБ),</w:t>
      </w:r>
      <w:r w:rsidRPr="00825D86">
        <w:rPr>
          <w:rFonts w:ascii="Tahoma" w:hAnsi="Tahoma" w:cs="Tahoma"/>
          <w:sz w:val="16"/>
          <w:szCs w:val="16"/>
        </w:rPr>
        <w:t xml:space="preserve"> владеющего около 60,7% обыкновенных акций, котирующихся на Венской фондовой бирже, остальная часть акций находится в свободном обращении. РЦБ – центральный институт австрийской банковской Группы </w:t>
      </w:r>
      <w:proofErr w:type="spellStart"/>
      <w:r w:rsidRPr="00825D86">
        <w:rPr>
          <w:rFonts w:ascii="Tahoma" w:hAnsi="Tahoma" w:cs="Tahoma"/>
          <w:sz w:val="16"/>
          <w:szCs w:val="16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, которая является крупнейшей банковской группой в стране, и выступает в качестве головного офиса всей Группы РЦБ, включая </w:t>
      </w:r>
      <w:proofErr w:type="spellStart"/>
      <w:r w:rsidRPr="00825D86">
        <w:rPr>
          <w:rFonts w:ascii="Tahoma" w:hAnsi="Tahoma" w:cs="Tahoma"/>
          <w:sz w:val="16"/>
          <w:szCs w:val="16"/>
        </w:rPr>
        <w:t>Райффайзен</w:t>
      </w:r>
      <w:proofErr w:type="spellEnd"/>
      <w:r w:rsidRPr="00825D86">
        <w:rPr>
          <w:rFonts w:ascii="Tahoma" w:hAnsi="Tahoma" w:cs="Tahoma"/>
          <w:sz w:val="16"/>
          <w:szCs w:val="16"/>
        </w:rPr>
        <w:t xml:space="preserve"> Банк </w:t>
      </w:r>
      <w:proofErr w:type="spellStart"/>
      <w:r w:rsidRPr="00825D86">
        <w:rPr>
          <w:rFonts w:ascii="Tahoma" w:hAnsi="Tahoma" w:cs="Tahoma"/>
          <w:sz w:val="16"/>
          <w:szCs w:val="16"/>
        </w:rPr>
        <w:t>Интернациональ</w:t>
      </w:r>
      <w:proofErr w:type="spellEnd"/>
      <w:r w:rsidRPr="00825D86">
        <w:rPr>
          <w:rFonts w:ascii="Tahoma" w:hAnsi="Tahoma" w:cs="Tahoma"/>
          <w:sz w:val="16"/>
          <w:szCs w:val="16"/>
        </w:rPr>
        <w:t>.</w:t>
      </w:r>
    </w:p>
    <w:p w:rsidR="000E42C7" w:rsidRPr="0010105D" w:rsidRDefault="000E42C7" w:rsidP="0056411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10105D">
        <w:rPr>
          <w:rFonts w:ascii="Tahoma" w:hAnsi="Tahoma" w:cs="Tahoma"/>
          <w:i/>
          <w:iCs/>
          <w:color w:val="000000"/>
          <w:sz w:val="16"/>
          <w:szCs w:val="16"/>
        </w:rPr>
        <w:t xml:space="preserve">Более подробная информация размещена на официальном сайте </w:t>
      </w:r>
      <w:r w:rsidRPr="0010105D">
        <w:rPr>
          <w:rFonts w:ascii="Tahoma" w:hAnsi="Tahoma" w:cs="Tahoma"/>
          <w:i/>
          <w:color w:val="000000"/>
          <w:sz w:val="16"/>
          <w:szCs w:val="16"/>
        </w:rPr>
        <w:t xml:space="preserve">ЗАО «Райффайзенбанк» </w:t>
      </w:r>
      <w:hyperlink r:id="rId9" w:history="1">
        <w:r w:rsidRPr="0010105D">
          <w:rPr>
            <w:rStyle w:val="Hyperlink"/>
            <w:rFonts w:ascii="Tahoma" w:hAnsi="Tahoma" w:cs="Tahoma"/>
            <w:i/>
            <w:sz w:val="16"/>
            <w:szCs w:val="16"/>
          </w:rPr>
          <w:t>http://www.raiffeisen.ru/</w:t>
        </w:r>
      </w:hyperlink>
      <w:r w:rsidRPr="0010105D">
        <w:rPr>
          <w:rFonts w:ascii="Tahoma" w:hAnsi="Tahoma" w:cs="Tahoma"/>
          <w:i/>
          <w:color w:val="000000"/>
          <w:sz w:val="16"/>
          <w:szCs w:val="16"/>
        </w:rPr>
        <w:t>.</w:t>
      </w:r>
    </w:p>
    <w:p w:rsidR="000E42C7" w:rsidRPr="00764A89" w:rsidRDefault="000E42C7" w:rsidP="0056411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i/>
          <w:color w:val="000000"/>
          <w:sz w:val="16"/>
          <w:szCs w:val="16"/>
        </w:rPr>
      </w:pPr>
    </w:p>
    <w:p w:rsidR="000E42C7" w:rsidRPr="00A05BBB" w:rsidRDefault="000E42C7" w:rsidP="00564119">
      <w:pPr>
        <w:spacing w:before="120" w:after="120"/>
        <w:jc w:val="both"/>
        <w:rPr>
          <w:rFonts w:ascii="Tahoma" w:hAnsi="Tahoma" w:cs="Tahoma"/>
        </w:rPr>
      </w:pPr>
    </w:p>
    <w:sectPr w:rsidR="000E42C7" w:rsidRPr="00A05BBB" w:rsidSect="009B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C7" w:rsidRDefault="000E42C7">
      <w:r>
        <w:separator/>
      </w:r>
    </w:p>
  </w:endnote>
  <w:endnote w:type="continuationSeparator" w:id="0">
    <w:p w:rsidR="000E42C7" w:rsidRDefault="000E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C7" w:rsidRDefault="000E42C7">
      <w:r>
        <w:separator/>
      </w:r>
    </w:p>
  </w:footnote>
  <w:footnote w:type="continuationSeparator" w:id="0">
    <w:p w:rsidR="000E42C7" w:rsidRDefault="000E42C7">
      <w:r>
        <w:continuationSeparator/>
      </w:r>
    </w:p>
  </w:footnote>
  <w:footnote w:id="1">
    <w:p w:rsidR="000E42C7" w:rsidRDefault="000E42C7" w:rsidP="001B75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07E6">
        <w:t>Рассчитывается путем вычитания из статьи «Операционный доход» статей «Резерв под обесценение кредитного портфеля», «Резервы по обязательствам кредитного характера», «Резерв под обесценение инвестиционных ценных бумаг, удерживаемых до погашения»</w:t>
      </w:r>
      <w:r>
        <w:t>.</w:t>
      </w:r>
    </w:p>
  </w:footnote>
  <w:footnote w:id="2">
    <w:p w:rsidR="000E42C7" w:rsidRDefault="000E42C7" w:rsidP="001B75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С учетом реализованного результата по производным финансовым инструментам  (</w:t>
      </w:r>
      <w:proofErr w:type="spellStart"/>
      <w:r>
        <w:t>межвалютным</w:t>
      </w:r>
      <w:proofErr w:type="spellEnd"/>
      <w:r>
        <w:t xml:space="preserve"> процентным, валютным и процентным свопам).</w:t>
      </w:r>
    </w:p>
  </w:footnote>
  <w:footnote w:id="3">
    <w:p w:rsidR="000E42C7" w:rsidRDefault="000E42C7" w:rsidP="001B75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С учетом реализованного результата по производным финансовым инструментам (</w:t>
      </w:r>
      <w:proofErr w:type="spellStart"/>
      <w:r>
        <w:t>межвалютным</w:t>
      </w:r>
      <w:proofErr w:type="spellEnd"/>
      <w:r>
        <w:t xml:space="preserve"> процентным, валютным и процентным свопам).</w:t>
      </w:r>
    </w:p>
  </w:footnote>
  <w:footnote w:id="4">
    <w:p w:rsidR="000E42C7" w:rsidRDefault="000E42C7" w:rsidP="00972294">
      <w:pPr>
        <w:pStyle w:val="FootnoteText"/>
      </w:pPr>
      <w:r w:rsidRPr="005D63A3">
        <w:rPr>
          <w:rStyle w:val="FootnoteReference"/>
        </w:rPr>
        <w:footnoteRef/>
      </w:r>
      <w:r w:rsidRPr="005D63A3">
        <w:t xml:space="preserve"> </w:t>
      </w:r>
      <w:r w:rsidRPr="002307E6">
        <w:t xml:space="preserve">В торговый результат включаются следующие статьи: доходы за вычетом расходов по операциям с торговыми ценными бумагами; доходы за вычетом расходов по прочим ценным бумагам, </w:t>
      </w:r>
      <w:r>
        <w:t>оцениваемым</w:t>
      </w:r>
      <w:r w:rsidRPr="002307E6">
        <w:t xml:space="preserve"> по справедливой стоимости через прибыль и убыток; доход от погашения инвестиционных ценных бумаг, имеющихся в наличии для продажи; доходы за вычетом расходов по операциям с иностранной валютой; нереализованные </w:t>
      </w:r>
      <w:r>
        <w:t>доходы за вычетом расходов/(</w:t>
      </w:r>
      <w:r w:rsidRPr="002307E6">
        <w:t>расходы за вычетом доходов</w:t>
      </w:r>
      <w:r>
        <w:t>)</w:t>
      </w:r>
      <w:r w:rsidRPr="002307E6">
        <w:t xml:space="preserve"> от операций с производными финансовыми инструментами;  реализованные доходы за вычетом расходов от операций с производными финансовыми инструментами (за вычетом </w:t>
      </w:r>
      <w:r>
        <w:t xml:space="preserve">реализованного результата по производным финансовым инструментам – </w:t>
      </w:r>
      <w:proofErr w:type="spellStart"/>
      <w:r>
        <w:t>межвалютным</w:t>
      </w:r>
      <w:proofErr w:type="spellEnd"/>
      <w:r>
        <w:t xml:space="preserve"> процентным, валютным и процентным свопам</w:t>
      </w:r>
      <w:r w:rsidRPr="002307E6">
        <w:t>); расходы за вычетом доходов от переоценки иностранной валюты; неэффективность учета хеджирования.</w:t>
      </w:r>
    </w:p>
  </w:footnote>
  <w:footnote w:id="5">
    <w:p w:rsidR="000E42C7" w:rsidRDefault="000E42C7" w:rsidP="00D937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07E6">
        <w:t xml:space="preserve">Ликвидные активы рассчитываются как сумма следующих статей: денежные средства и их эквиваленты, средства в других банках, дебиторская задолженность по сделкам </w:t>
      </w:r>
      <w:proofErr w:type="spellStart"/>
      <w:r w:rsidRPr="002307E6">
        <w:t>репо</w:t>
      </w:r>
      <w:proofErr w:type="spellEnd"/>
      <w:r w:rsidRPr="002307E6">
        <w:t>, торговые ценные бумаги, прочие ценные бумаги, отражаемые по справедливой стоимости на счете прибылей и убытков, инвестиционные ценные бумаги, имеющиеся в наличии для продажи.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92D20C"/>
    <w:lvl w:ilvl="0">
      <w:numFmt w:val="bullet"/>
      <w:lvlText w:val="*"/>
      <w:lvlJc w:val="left"/>
    </w:lvl>
  </w:abstractNum>
  <w:abstractNum w:abstractNumId="1">
    <w:nsid w:val="09BB0CC3"/>
    <w:multiLevelType w:val="hybridMultilevel"/>
    <w:tmpl w:val="AA6C6026"/>
    <w:lvl w:ilvl="0" w:tplc="ED1AC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797356"/>
    <w:multiLevelType w:val="hybridMultilevel"/>
    <w:tmpl w:val="DF96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75F6F"/>
    <w:multiLevelType w:val="hybridMultilevel"/>
    <w:tmpl w:val="059A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945"/>
    <w:multiLevelType w:val="hybridMultilevel"/>
    <w:tmpl w:val="24927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82BAF"/>
    <w:multiLevelType w:val="hybridMultilevel"/>
    <w:tmpl w:val="FE6AC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034BCF"/>
    <w:multiLevelType w:val="hybridMultilevel"/>
    <w:tmpl w:val="AD8C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72ADF"/>
    <w:multiLevelType w:val="hybridMultilevel"/>
    <w:tmpl w:val="D0A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10242"/>
    <w:multiLevelType w:val="hybridMultilevel"/>
    <w:tmpl w:val="01D250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B09"/>
    <w:rsid w:val="000028F6"/>
    <w:rsid w:val="00004822"/>
    <w:rsid w:val="000057F0"/>
    <w:rsid w:val="00007218"/>
    <w:rsid w:val="00007964"/>
    <w:rsid w:val="00010134"/>
    <w:rsid w:val="00014B08"/>
    <w:rsid w:val="00015396"/>
    <w:rsid w:val="00017A2F"/>
    <w:rsid w:val="0002135E"/>
    <w:rsid w:val="00026DBC"/>
    <w:rsid w:val="00032623"/>
    <w:rsid w:val="0003770F"/>
    <w:rsid w:val="00040B14"/>
    <w:rsid w:val="0004366D"/>
    <w:rsid w:val="00043891"/>
    <w:rsid w:val="00050950"/>
    <w:rsid w:val="00054B24"/>
    <w:rsid w:val="00057340"/>
    <w:rsid w:val="00061796"/>
    <w:rsid w:val="00074ED5"/>
    <w:rsid w:val="0007679C"/>
    <w:rsid w:val="00076E96"/>
    <w:rsid w:val="0007713A"/>
    <w:rsid w:val="000776C2"/>
    <w:rsid w:val="000838A4"/>
    <w:rsid w:val="00083B60"/>
    <w:rsid w:val="00092E4E"/>
    <w:rsid w:val="000A1590"/>
    <w:rsid w:val="000A44A4"/>
    <w:rsid w:val="000A6B6F"/>
    <w:rsid w:val="000A6FB6"/>
    <w:rsid w:val="000A7E60"/>
    <w:rsid w:val="000B13D5"/>
    <w:rsid w:val="000B22A3"/>
    <w:rsid w:val="000C78D8"/>
    <w:rsid w:val="000D2454"/>
    <w:rsid w:val="000D297B"/>
    <w:rsid w:val="000D3CAF"/>
    <w:rsid w:val="000D5802"/>
    <w:rsid w:val="000D77A3"/>
    <w:rsid w:val="000E1BFB"/>
    <w:rsid w:val="000E42C7"/>
    <w:rsid w:val="000F1669"/>
    <w:rsid w:val="000F5348"/>
    <w:rsid w:val="000F64AD"/>
    <w:rsid w:val="000F69E6"/>
    <w:rsid w:val="0010105D"/>
    <w:rsid w:val="00105032"/>
    <w:rsid w:val="00105DA4"/>
    <w:rsid w:val="0010613F"/>
    <w:rsid w:val="00111A8F"/>
    <w:rsid w:val="00115092"/>
    <w:rsid w:val="00115D60"/>
    <w:rsid w:val="0011654E"/>
    <w:rsid w:val="0011794F"/>
    <w:rsid w:val="0012493E"/>
    <w:rsid w:val="00125139"/>
    <w:rsid w:val="001259A4"/>
    <w:rsid w:val="001274F9"/>
    <w:rsid w:val="0013137B"/>
    <w:rsid w:val="00132C52"/>
    <w:rsid w:val="00135B9C"/>
    <w:rsid w:val="001466C2"/>
    <w:rsid w:val="00153083"/>
    <w:rsid w:val="00153A50"/>
    <w:rsid w:val="00153CD4"/>
    <w:rsid w:val="00154324"/>
    <w:rsid w:val="00154861"/>
    <w:rsid w:val="0016191A"/>
    <w:rsid w:val="00161B9E"/>
    <w:rsid w:val="001625AD"/>
    <w:rsid w:val="00164749"/>
    <w:rsid w:val="00164CEE"/>
    <w:rsid w:val="00164EF6"/>
    <w:rsid w:val="001664D6"/>
    <w:rsid w:val="00167FFB"/>
    <w:rsid w:val="00172B56"/>
    <w:rsid w:val="001731A5"/>
    <w:rsid w:val="00175E35"/>
    <w:rsid w:val="00177401"/>
    <w:rsid w:val="00177429"/>
    <w:rsid w:val="00180765"/>
    <w:rsid w:val="00181DDF"/>
    <w:rsid w:val="00185733"/>
    <w:rsid w:val="001858DB"/>
    <w:rsid w:val="00191633"/>
    <w:rsid w:val="001946EA"/>
    <w:rsid w:val="001951D2"/>
    <w:rsid w:val="00195833"/>
    <w:rsid w:val="001A0EFB"/>
    <w:rsid w:val="001A6B31"/>
    <w:rsid w:val="001A7528"/>
    <w:rsid w:val="001A761C"/>
    <w:rsid w:val="001B2DD2"/>
    <w:rsid w:val="001B34A8"/>
    <w:rsid w:val="001B75FC"/>
    <w:rsid w:val="001C104D"/>
    <w:rsid w:val="001C1BD5"/>
    <w:rsid w:val="001C3222"/>
    <w:rsid w:val="001D3681"/>
    <w:rsid w:val="001D56AE"/>
    <w:rsid w:val="001D6B35"/>
    <w:rsid w:val="001D6C7A"/>
    <w:rsid w:val="001E08C0"/>
    <w:rsid w:val="001E198C"/>
    <w:rsid w:val="001E53F1"/>
    <w:rsid w:val="001E570D"/>
    <w:rsid w:val="001E7A85"/>
    <w:rsid w:val="001E7C61"/>
    <w:rsid w:val="001F11CE"/>
    <w:rsid w:val="001F4782"/>
    <w:rsid w:val="001F5859"/>
    <w:rsid w:val="0020442D"/>
    <w:rsid w:val="002051FE"/>
    <w:rsid w:val="00210621"/>
    <w:rsid w:val="00210CCC"/>
    <w:rsid w:val="002128CA"/>
    <w:rsid w:val="00212B33"/>
    <w:rsid w:val="00223046"/>
    <w:rsid w:val="00224222"/>
    <w:rsid w:val="0022736C"/>
    <w:rsid w:val="002275B3"/>
    <w:rsid w:val="002303B2"/>
    <w:rsid w:val="002307E6"/>
    <w:rsid w:val="00230CD5"/>
    <w:rsid w:val="0023200B"/>
    <w:rsid w:val="00233C17"/>
    <w:rsid w:val="0023569B"/>
    <w:rsid w:val="002408F1"/>
    <w:rsid w:val="0024694A"/>
    <w:rsid w:val="00253CBD"/>
    <w:rsid w:val="0025425F"/>
    <w:rsid w:val="00254E62"/>
    <w:rsid w:val="00255774"/>
    <w:rsid w:val="002558AA"/>
    <w:rsid w:val="00256723"/>
    <w:rsid w:val="00257586"/>
    <w:rsid w:val="00260269"/>
    <w:rsid w:val="002609EB"/>
    <w:rsid w:val="00261F96"/>
    <w:rsid w:val="00262CDB"/>
    <w:rsid w:val="002670C9"/>
    <w:rsid w:val="00267E3E"/>
    <w:rsid w:val="00274ACF"/>
    <w:rsid w:val="00276849"/>
    <w:rsid w:val="00276AEE"/>
    <w:rsid w:val="0028036A"/>
    <w:rsid w:val="00283404"/>
    <w:rsid w:val="0028436F"/>
    <w:rsid w:val="002845DE"/>
    <w:rsid w:val="00284F7D"/>
    <w:rsid w:val="0028727D"/>
    <w:rsid w:val="002927E5"/>
    <w:rsid w:val="002954BA"/>
    <w:rsid w:val="00295A24"/>
    <w:rsid w:val="00295C6A"/>
    <w:rsid w:val="002A1B35"/>
    <w:rsid w:val="002A3ECF"/>
    <w:rsid w:val="002B18D8"/>
    <w:rsid w:val="002B59F4"/>
    <w:rsid w:val="002C02AB"/>
    <w:rsid w:val="002C13DB"/>
    <w:rsid w:val="002C31CB"/>
    <w:rsid w:val="002C3AAF"/>
    <w:rsid w:val="002C7564"/>
    <w:rsid w:val="002D050B"/>
    <w:rsid w:val="002D33DD"/>
    <w:rsid w:val="002D6AAA"/>
    <w:rsid w:val="002E270B"/>
    <w:rsid w:val="002E3057"/>
    <w:rsid w:val="002E4DC0"/>
    <w:rsid w:val="002F06F5"/>
    <w:rsid w:val="002F0C25"/>
    <w:rsid w:val="003044CD"/>
    <w:rsid w:val="00305366"/>
    <w:rsid w:val="00306E56"/>
    <w:rsid w:val="00307008"/>
    <w:rsid w:val="0031080D"/>
    <w:rsid w:val="00312602"/>
    <w:rsid w:val="00315E5A"/>
    <w:rsid w:val="00321047"/>
    <w:rsid w:val="00322C32"/>
    <w:rsid w:val="003249A5"/>
    <w:rsid w:val="00326692"/>
    <w:rsid w:val="00326FBB"/>
    <w:rsid w:val="00330F3F"/>
    <w:rsid w:val="0033288B"/>
    <w:rsid w:val="00333DC5"/>
    <w:rsid w:val="00334A34"/>
    <w:rsid w:val="00345E6F"/>
    <w:rsid w:val="00346A92"/>
    <w:rsid w:val="00350E28"/>
    <w:rsid w:val="003526A6"/>
    <w:rsid w:val="00353453"/>
    <w:rsid w:val="00353B89"/>
    <w:rsid w:val="00353BD6"/>
    <w:rsid w:val="00353D8A"/>
    <w:rsid w:val="003570DC"/>
    <w:rsid w:val="00361FDD"/>
    <w:rsid w:val="00363F70"/>
    <w:rsid w:val="00364833"/>
    <w:rsid w:val="00367A75"/>
    <w:rsid w:val="00367F23"/>
    <w:rsid w:val="00370FF4"/>
    <w:rsid w:val="00372131"/>
    <w:rsid w:val="00374517"/>
    <w:rsid w:val="00377801"/>
    <w:rsid w:val="0038075D"/>
    <w:rsid w:val="00393F89"/>
    <w:rsid w:val="0039575C"/>
    <w:rsid w:val="003979B1"/>
    <w:rsid w:val="003A5632"/>
    <w:rsid w:val="003A6415"/>
    <w:rsid w:val="003B0428"/>
    <w:rsid w:val="003B37C6"/>
    <w:rsid w:val="003B528C"/>
    <w:rsid w:val="003B625B"/>
    <w:rsid w:val="003C2A2B"/>
    <w:rsid w:val="003C2C7E"/>
    <w:rsid w:val="003C5CB9"/>
    <w:rsid w:val="003C688C"/>
    <w:rsid w:val="003D17FD"/>
    <w:rsid w:val="003D2C58"/>
    <w:rsid w:val="003E1422"/>
    <w:rsid w:val="003E50D2"/>
    <w:rsid w:val="003E6C88"/>
    <w:rsid w:val="003F0D3F"/>
    <w:rsid w:val="003F109D"/>
    <w:rsid w:val="003F5A18"/>
    <w:rsid w:val="0040189D"/>
    <w:rsid w:val="00401CC7"/>
    <w:rsid w:val="00403396"/>
    <w:rsid w:val="0041071D"/>
    <w:rsid w:val="00411F78"/>
    <w:rsid w:val="00412316"/>
    <w:rsid w:val="00413C76"/>
    <w:rsid w:val="00423D6C"/>
    <w:rsid w:val="00423E81"/>
    <w:rsid w:val="00424D55"/>
    <w:rsid w:val="00427A74"/>
    <w:rsid w:val="00435768"/>
    <w:rsid w:val="004359AD"/>
    <w:rsid w:val="0043770D"/>
    <w:rsid w:val="00441651"/>
    <w:rsid w:val="0044273E"/>
    <w:rsid w:val="00451BC2"/>
    <w:rsid w:val="0045496A"/>
    <w:rsid w:val="00461C3E"/>
    <w:rsid w:val="004636A6"/>
    <w:rsid w:val="004647CD"/>
    <w:rsid w:val="004648C3"/>
    <w:rsid w:val="00464917"/>
    <w:rsid w:val="00470B7A"/>
    <w:rsid w:val="00482870"/>
    <w:rsid w:val="0048409C"/>
    <w:rsid w:val="00485856"/>
    <w:rsid w:val="00485E29"/>
    <w:rsid w:val="0049098B"/>
    <w:rsid w:val="004955AB"/>
    <w:rsid w:val="004A02B4"/>
    <w:rsid w:val="004A1991"/>
    <w:rsid w:val="004A47D0"/>
    <w:rsid w:val="004A6E0D"/>
    <w:rsid w:val="004A77C6"/>
    <w:rsid w:val="004B598C"/>
    <w:rsid w:val="004C5984"/>
    <w:rsid w:val="004C632B"/>
    <w:rsid w:val="004C69EC"/>
    <w:rsid w:val="004C7735"/>
    <w:rsid w:val="004D327F"/>
    <w:rsid w:val="004D4A03"/>
    <w:rsid w:val="004D5546"/>
    <w:rsid w:val="004E1863"/>
    <w:rsid w:val="004E632A"/>
    <w:rsid w:val="004F087D"/>
    <w:rsid w:val="004F1921"/>
    <w:rsid w:val="004F373D"/>
    <w:rsid w:val="004F41CB"/>
    <w:rsid w:val="00502988"/>
    <w:rsid w:val="00510056"/>
    <w:rsid w:val="00511DD2"/>
    <w:rsid w:val="005142C3"/>
    <w:rsid w:val="0051493B"/>
    <w:rsid w:val="0051650B"/>
    <w:rsid w:val="0052261D"/>
    <w:rsid w:val="00522E2D"/>
    <w:rsid w:val="00524F47"/>
    <w:rsid w:val="005361C0"/>
    <w:rsid w:val="00537883"/>
    <w:rsid w:val="00541DD9"/>
    <w:rsid w:val="00541EF0"/>
    <w:rsid w:val="00542B6E"/>
    <w:rsid w:val="00545591"/>
    <w:rsid w:val="005455C7"/>
    <w:rsid w:val="00547366"/>
    <w:rsid w:val="00547731"/>
    <w:rsid w:val="0054789B"/>
    <w:rsid w:val="00553CED"/>
    <w:rsid w:val="00554B5D"/>
    <w:rsid w:val="00556D22"/>
    <w:rsid w:val="00564119"/>
    <w:rsid w:val="00570829"/>
    <w:rsid w:val="0057097D"/>
    <w:rsid w:val="0058396B"/>
    <w:rsid w:val="00584F0D"/>
    <w:rsid w:val="00591E0E"/>
    <w:rsid w:val="005929AE"/>
    <w:rsid w:val="005974EA"/>
    <w:rsid w:val="005A0EAF"/>
    <w:rsid w:val="005A1F42"/>
    <w:rsid w:val="005A654F"/>
    <w:rsid w:val="005B532B"/>
    <w:rsid w:val="005C02AF"/>
    <w:rsid w:val="005C3244"/>
    <w:rsid w:val="005D040E"/>
    <w:rsid w:val="005D1B52"/>
    <w:rsid w:val="005D2F5D"/>
    <w:rsid w:val="005D3AEA"/>
    <w:rsid w:val="005D5315"/>
    <w:rsid w:val="005D63A3"/>
    <w:rsid w:val="005D7EC8"/>
    <w:rsid w:val="005E0249"/>
    <w:rsid w:val="005E0C83"/>
    <w:rsid w:val="005E32EC"/>
    <w:rsid w:val="005E7619"/>
    <w:rsid w:val="005E7AC9"/>
    <w:rsid w:val="005E7F70"/>
    <w:rsid w:val="005F74EA"/>
    <w:rsid w:val="0060721E"/>
    <w:rsid w:val="00611B1D"/>
    <w:rsid w:val="00613074"/>
    <w:rsid w:val="006163D1"/>
    <w:rsid w:val="0062007A"/>
    <w:rsid w:val="00620FF8"/>
    <w:rsid w:val="00621096"/>
    <w:rsid w:val="00623A45"/>
    <w:rsid w:val="00624D96"/>
    <w:rsid w:val="0062583B"/>
    <w:rsid w:val="00630F94"/>
    <w:rsid w:val="00633DCB"/>
    <w:rsid w:val="006362F1"/>
    <w:rsid w:val="00636358"/>
    <w:rsid w:val="00636BD5"/>
    <w:rsid w:val="00636F78"/>
    <w:rsid w:val="00640DCB"/>
    <w:rsid w:val="0064443F"/>
    <w:rsid w:val="00644FAE"/>
    <w:rsid w:val="00651A43"/>
    <w:rsid w:val="00655824"/>
    <w:rsid w:val="00662567"/>
    <w:rsid w:val="00664634"/>
    <w:rsid w:val="00665223"/>
    <w:rsid w:val="00670F3B"/>
    <w:rsid w:val="0067368F"/>
    <w:rsid w:val="00683090"/>
    <w:rsid w:val="00691F1A"/>
    <w:rsid w:val="00693DE7"/>
    <w:rsid w:val="006946F1"/>
    <w:rsid w:val="006A0741"/>
    <w:rsid w:val="006A1F17"/>
    <w:rsid w:val="006A4D01"/>
    <w:rsid w:val="006A4D6B"/>
    <w:rsid w:val="006B6B23"/>
    <w:rsid w:val="006C7263"/>
    <w:rsid w:val="006D3DA4"/>
    <w:rsid w:val="006D47E8"/>
    <w:rsid w:val="006D617E"/>
    <w:rsid w:val="006E0239"/>
    <w:rsid w:val="006E46E1"/>
    <w:rsid w:val="006E5990"/>
    <w:rsid w:val="006F146F"/>
    <w:rsid w:val="006F22F8"/>
    <w:rsid w:val="006F52A0"/>
    <w:rsid w:val="006F7DEF"/>
    <w:rsid w:val="0070153C"/>
    <w:rsid w:val="00704AD0"/>
    <w:rsid w:val="007064E0"/>
    <w:rsid w:val="0071104C"/>
    <w:rsid w:val="007278E3"/>
    <w:rsid w:val="00727CB0"/>
    <w:rsid w:val="0073191D"/>
    <w:rsid w:val="00731D75"/>
    <w:rsid w:val="00732941"/>
    <w:rsid w:val="00732F35"/>
    <w:rsid w:val="007345B7"/>
    <w:rsid w:val="0073780F"/>
    <w:rsid w:val="00741D13"/>
    <w:rsid w:val="00741DDC"/>
    <w:rsid w:val="00742FFD"/>
    <w:rsid w:val="00744354"/>
    <w:rsid w:val="00746981"/>
    <w:rsid w:val="00750988"/>
    <w:rsid w:val="00757568"/>
    <w:rsid w:val="0076104E"/>
    <w:rsid w:val="00764A89"/>
    <w:rsid w:val="00765D37"/>
    <w:rsid w:val="007673A2"/>
    <w:rsid w:val="007728F1"/>
    <w:rsid w:val="0077550E"/>
    <w:rsid w:val="00781A6A"/>
    <w:rsid w:val="00782BAA"/>
    <w:rsid w:val="007859F4"/>
    <w:rsid w:val="007934D7"/>
    <w:rsid w:val="007A301D"/>
    <w:rsid w:val="007A3944"/>
    <w:rsid w:val="007A4238"/>
    <w:rsid w:val="007A5EBE"/>
    <w:rsid w:val="007B1883"/>
    <w:rsid w:val="007B5782"/>
    <w:rsid w:val="007B620B"/>
    <w:rsid w:val="007B7022"/>
    <w:rsid w:val="007C0971"/>
    <w:rsid w:val="007C33A4"/>
    <w:rsid w:val="007D0F8D"/>
    <w:rsid w:val="007D2090"/>
    <w:rsid w:val="007E3E23"/>
    <w:rsid w:val="007E5A7C"/>
    <w:rsid w:val="007E7AAE"/>
    <w:rsid w:val="007F0E01"/>
    <w:rsid w:val="007F1DD8"/>
    <w:rsid w:val="007F38A7"/>
    <w:rsid w:val="007F5587"/>
    <w:rsid w:val="007F6EC7"/>
    <w:rsid w:val="008001B7"/>
    <w:rsid w:val="00803379"/>
    <w:rsid w:val="00803A4F"/>
    <w:rsid w:val="008045F4"/>
    <w:rsid w:val="008108FA"/>
    <w:rsid w:val="00814DCD"/>
    <w:rsid w:val="008158A3"/>
    <w:rsid w:val="00815ECF"/>
    <w:rsid w:val="00820F87"/>
    <w:rsid w:val="00821A9B"/>
    <w:rsid w:val="00825BC3"/>
    <w:rsid w:val="00825D86"/>
    <w:rsid w:val="00827FF7"/>
    <w:rsid w:val="00832B90"/>
    <w:rsid w:val="008336AF"/>
    <w:rsid w:val="00836C71"/>
    <w:rsid w:val="00837A6C"/>
    <w:rsid w:val="008430F2"/>
    <w:rsid w:val="0084425C"/>
    <w:rsid w:val="00844ED5"/>
    <w:rsid w:val="008503E2"/>
    <w:rsid w:val="00850F16"/>
    <w:rsid w:val="00852D9C"/>
    <w:rsid w:val="00853EE0"/>
    <w:rsid w:val="00857EDB"/>
    <w:rsid w:val="0086450A"/>
    <w:rsid w:val="00865131"/>
    <w:rsid w:val="0087016D"/>
    <w:rsid w:val="0087543C"/>
    <w:rsid w:val="00877166"/>
    <w:rsid w:val="008774A3"/>
    <w:rsid w:val="008902BA"/>
    <w:rsid w:val="0089334E"/>
    <w:rsid w:val="008A176E"/>
    <w:rsid w:val="008A2A6F"/>
    <w:rsid w:val="008A3786"/>
    <w:rsid w:val="008A49E2"/>
    <w:rsid w:val="008B2543"/>
    <w:rsid w:val="008B5CEA"/>
    <w:rsid w:val="008B6CEF"/>
    <w:rsid w:val="008B7E01"/>
    <w:rsid w:val="008C014D"/>
    <w:rsid w:val="008C13E1"/>
    <w:rsid w:val="008C187A"/>
    <w:rsid w:val="008C57B4"/>
    <w:rsid w:val="008C6E53"/>
    <w:rsid w:val="008D07B8"/>
    <w:rsid w:val="008D1CA9"/>
    <w:rsid w:val="008D1FB7"/>
    <w:rsid w:val="008D693A"/>
    <w:rsid w:val="008E066C"/>
    <w:rsid w:val="008E36AB"/>
    <w:rsid w:val="008E563E"/>
    <w:rsid w:val="008E5642"/>
    <w:rsid w:val="008E699E"/>
    <w:rsid w:val="008E6F25"/>
    <w:rsid w:val="008F0074"/>
    <w:rsid w:val="008F0B2D"/>
    <w:rsid w:val="008F0BF5"/>
    <w:rsid w:val="008F6D56"/>
    <w:rsid w:val="009021C4"/>
    <w:rsid w:val="009022D2"/>
    <w:rsid w:val="009136EF"/>
    <w:rsid w:val="00922264"/>
    <w:rsid w:val="00930796"/>
    <w:rsid w:val="0093286D"/>
    <w:rsid w:val="0094281E"/>
    <w:rsid w:val="00944ED2"/>
    <w:rsid w:val="009470BC"/>
    <w:rsid w:val="0095363F"/>
    <w:rsid w:val="0095491B"/>
    <w:rsid w:val="00954B0B"/>
    <w:rsid w:val="00956FD9"/>
    <w:rsid w:val="009607A6"/>
    <w:rsid w:val="00962D10"/>
    <w:rsid w:val="00963889"/>
    <w:rsid w:val="00965278"/>
    <w:rsid w:val="00967B82"/>
    <w:rsid w:val="0097042A"/>
    <w:rsid w:val="00972294"/>
    <w:rsid w:val="00975C88"/>
    <w:rsid w:val="00981290"/>
    <w:rsid w:val="00992049"/>
    <w:rsid w:val="00993C8C"/>
    <w:rsid w:val="009A1D02"/>
    <w:rsid w:val="009A40CD"/>
    <w:rsid w:val="009B2FA8"/>
    <w:rsid w:val="009B484E"/>
    <w:rsid w:val="009C59D7"/>
    <w:rsid w:val="009E3C12"/>
    <w:rsid w:val="009E72D1"/>
    <w:rsid w:val="009F0C07"/>
    <w:rsid w:val="009F37E9"/>
    <w:rsid w:val="009F74AE"/>
    <w:rsid w:val="009F7C21"/>
    <w:rsid w:val="00A002FC"/>
    <w:rsid w:val="00A009B5"/>
    <w:rsid w:val="00A033CD"/>
    <w:rsid w:val="00A033D9"/>
    <w:rsid w:val="00A0453A"/>
    <w:rsid w:val="00A05BBB"/>
    <w:rsid w:val="00A11C93"/>
    <w:rsid w:val="00A12C9C"/>
    <w:rsid w:val="00A167A0"/>
    <w:rsid w:val="00A20DE5"/>
    <w:rsid w:val="00A2342E"/>
    <w:rsid w:val="00A2636F"/>
    <w:rsid w:val="00A4144F"/>
    <w:rsid w:val="00A45211"/>
    <w:rsid w:val="00A45C48"/>
    <w:rsid w:val="00A46840"/>
    <w:rsid w:val="00A507B9"/>
    <w:rsid w:val="00A507FC"/>
    <w:rsid w:val="00A54A76"/>
    <w:rsid w:val="00A55123"/>
    <w:rsid w:val="00A60038"/>
    <w:rsid w:val="00A60B11"/>
    <w:rsid w:val="00A614D6"/>
    <w:rsid w:val="00A626C9"/>
    <w:rsid w:val="00A64414"/>
    <w:rsid w:val="00A64CE1"/>
    <w:rsid w:val="00A64FBE"/>
    <w:rsid w:val="00A670B3"/>
    <w:rsid w:val="00A67997"/>
    <w:rsid w:val="00A702D7"/>
    <w:rsid w:val="00A70869"/>
    <w:rsid w:val="00A8043F"/>
    <w:rsid w:val="00A81B21"/>
    <w:rsid w:val="00A84B78"/>
    <w:rsid w:val="00A85CCE"/>
    <w:rsid w:val="00A9086C"/>
    <w:rsid w:val="00A931A0"/>
    <w:rsid w:val="00A9336B"/>
    <w:rsid w:val="00A97410"/>
    <w:rsid w:val="00A97811"/>
    <w:rsid w:val="00AA071D"/>
    <w:rsid w:val="00AA0A71"/>
    <w:rsid w:val="00AA2FEA"/>
    <w:rsid w:val="00AB0CB8"/>
    <w:rsid w:val="00AB6EFC"/>
    <w:rsid w:val="00AC2B5E"/>
    <w:rsid w:val="00AC3490"/>
    <w:rsid w:val="00AC4B28"/>
    <w:rsid w:val="00AD0F9F"/>
    <w:rsid w:val="00AD34E6"/>
    <w:rsid w:val="00AD46E3"/>
    <w:rsid w:val="00AE0959"/>
    <w:rsid w:val="00AE304B"/>
    <w:rsid w:val="00AE424B"/>
    <w:rsid w:val="00AE537B"/>
    <w:rsid w:val="00AE5D07"/>
    <w:rsid w:val="00AE5D5A"/>
    <w:rsid w:val="00AE650B"/>
    <w:rsid w:val="00AE674D"/>
    <w:rsid w:val="00AF3AA9"/>
    <w:rsid w:val="00AF433A"/>
    <w:rsid w:val="00AF47DD"/>
    <w:rsid w:val="00AF59C1"/>
    <w:rsid w:val="00AF78E7"/>
    <w:rsid w:val="00AF7E9D"/>
    <w:rsid w:val="00B00114"/>
    <w:rsid w:val="00B00CFB"/>
    <w:rsid w:val="00B05996"/>
    <w:rsid w:val="00B10421"/>
    <w:rsid w:val="00B10FB2"/>
    <w:rsid w:val="00B25BD4"/>
    <w:rsid w:val="00B27437"/>
    <w:rsid w:val="00B341C1"/>
    <w:rsid w:val="00B34964"/>
    <w:rsid w:val="00B36F22"/>
    <w:rsid w:val="00B40FBB"/>
    <w:rsid w:val="00B43B88"/>
    <w:rsid w:val="00B44436"/>
    <w:rsid w:val="00B446B6"/>
    <w:rsid w:val="00B454A7"/>
    <w:rsid w:val="00B464D6"/>
    <w:rsid w:val="00B50A1F"/>
    <w:rsid w:val="00B50AD4"/>
    <w:rsid w:val="00B60B0A"/>
    <w:rsid w:val="00B62462"/>
    <w:rsid w:val="00B62D03"/>
    <w:rsid w:val="00B62E3C"/>
    <w:rsid w:val="00B64559"/>
    <w:rsid w:val="00B75C45"/>
    <w:rsid w:val="00B8107A"/>
    <w:rsid w:val="00B85736"/>
    <w:rsid w:val="00B912D7"/>
    <w:rsid w:val="00B91BEF"/>
    <w:rsid w:val="00B938A1"/>
    <w:rsid w:val="00BA7812"/>
    <w:rsid w:val="00BB06FF"/>
    <w:rsid w:val="00BB2078"/>
    <w:rsid w:val="00BB2EE5"/>
    <w:rsid w:val="00BB738E"/>
    <w:rsid w:val="00BC2906"/>
    <w:rsid w:val="00BC3989"/>
    <w:rsid w:val="00BC3B61"/>
    <w:rsid w:val="00BC43E1"/>
    <w:rsid w:val="00BC4973"/>
    <w:rsid w:val="00BE319A"/>
    <w:rsid w:val="00BE41AC"/>
    <w:rsid w:val="00BE42A4"/>
    <w:rsid w:val="00BE4453"/>
    <w:rsid w:val="00BF1CD7"/>
    <w:rsid w:val="00BF35E5"/>
    <w:rsid w:val="00BF5959"/>
    <w:rsid w:val="00C0187B"/>
    <w:rsid w:val="00C06F3D"/>
    <w:rsid w:val="00C10356"/>
    <w:rsid w:val="00C10B06"/>
    <w:rsid w:val="00C13DC0"/>
    <w:rsid w:val="00C1421F"/>
    <w:rsid w:val="00C179FF"/>
    <w:rsid w:val="00C17ADE"/>
    <w:rsid w:val="00C22C6B"/>
    <w:rsid w:val="00C23B66"/>
    <w:rsid w:val="00C32C5F"/>
    <w:rsid w:val="00C339DB"/>
    <w:rsid w:val="00C35E69"/>
    <w:rsid w:val="00C36F34"/>
    <w:rsid w:val="00C371DE"/>
    <w:rsid w:val="00C4025F"/>
    <w:rsid w:val="00C409FD"/>
    <w:rsid w:val="00C4159D"/>
    <w:rsid w:val="00C43BCC"/>
    <w:rsid w:val="00C453D9"/>
    <w:rsid w:val="00C47711"/>
    <w:rsid w:val="00C477F2"/>
    <w:rsid w:val="00C47A78"/>
    <w:rsid w:val="00C50F87"/>
    <w:rsid w:val="00C51B09"/>
    <w:rsid w:val="00C527F4"/>
    <w:rsid w:val="00C55056"/>
    <w:rsid w:val="00C553C3"/>
    <w:rsid w:val="00C56320"/>
    <w:rsid w:val="00C56A87"/>
    <w:rsid w:val="00C62A70"/>
    <w:rsid w:val="00C668AB"/>
    <w:rsid w:val="00C747CF"/>
    <w:rsid w:val="00C82AB1"/>
    <w:rsid w:val="00C836D0"/>
    <w:rsid w:val="00C83891"/>
    <w:rsid w:val="00C86026"/>
    <w:rsid w:val="00C87D08"/>
    <w:rsid w:val="00C90E9F"/>
    <w:rsid w:val="00C911EE"/>
    <w:rsid w:val="00C93639"/>
    <w:rsid w:val="00C97855"/>
    <w:rsid w:val="00C97B65"/>
    <w:rsid w:val="00CA407D"/>
    <w:rsid w:val="00CA54C4"/>
    <w:rsid w:val="00CB443C"/>
    <w:rsid w:val="00CB55AA"/>
    <w:rsid w:val="00CC1165"/>
    <w:rsid w:val="00CC48A5"/>
    <w:rsid w:val="00CC66C9"/>
    <w:rsid w:val="00CD62BF"/>
    <w:rsid w:val="00CD7822"/>
    <w:rsid w:val="00CE0434"/>
    <w:rsid w:val="00CE1AC2"/>
    <w:rsid w:val="00CE1BB8"/>
    <w:rsid w:val="00CE2A1F"/>
    <w:rsid w:val="00CE4D7E"/>
    <w:rsid w:val="00CE72EB"/>
    <w:rsid w:val="00CF0CEE"/>
    <w:rsid w:val="00CF3308"/>
    <w:rsid w:val="00D03AF1"/>
    <w:rsid w:val="00D05777"/>
    <w:rsid w:val="00D1113C"/>
    <w:rsid w:val="00D11610"/>
    <w:rsid w:val="00D12615"/>
    <w:rsid w:val="00D134B9"/>
    <w:rsid w:val="00D13865"/>
    <w:rsid w:val="00D16A47"/>
    <w:rsid w:val="00D23FB7"/>
    <w:rsid w:val="00D24503"/>
    <w:rsid w:val="00D257E0"/>
    <w:rsid w:val="00D33F23"/>
    <w:rsid w:val="00D3504B"/>
    <w:rsid w:val="00D37120"/>
    <w:rsid w:val="00D37773"/>
    <w:rsid w:val="00D474B0"/>
    <w:rsid w:val="00D5021B"/>
    <w:rsid w:val="00D53F6E"/>
    <w:rsid w:val="00D543EE"/>
    <w:rsid w:val="00D55E9E"/>
    <w:rsid w:val="00D60AF2"/>
    <w:rsid w:val="00D66AD7"/>
    <w:rsid w:val="00D67D28"/>
    <w:rsid w:val="00D71C1F"/>
    <w:rsid w:val="00D745B4"/>
    <w:rsid w:val="00D83603"/>
    <w:rsid w:val="00D841E0"/>
    <w:rsid w:val="00D91051"/>
    <w:rsid w:val="00D915FA"/>
    <w:rsid w:val="00D93790"/>
    <w:rsid w:val="00DA6CCC"/>
    <w:rsid w:val="00DB327B"/>
    <w:rsid w:val="00DB46A2"/>
    <w:rsid w:val="00DC172D"/>
    <w:rsid w:val="00DC17D1"/>
    <w:rsid w:val="00DC37EC"/>
    <w:rsid w:val="00DD08D7"/>
    <w:rsid w:val="00DD30E2"/>
    <w:rsid w:val="00DD3D06"/>
    <w:rsid w:val="00DD53E4"/>
    <w:rsid w:val="00DE5073"/>
    <w:rsid w:val="00DF1AA7"/>
    <w:rsid w:val="00DF6DA9"/>
    <w:rsid w:val="00E0032F"/>
    <w:rsid w:val="00E020FE"/>
    <w:rsid w:val="00E03B59"/>
    <w:rsid w:val="00E07CCB"/>
    <w:rsid w:val="00E113F0"/>
    <w:rsid w:val="00E11765"/>
    <w:rsid w:val="00E12A2A"/>
    <w:rsid w:val="00E163DE"/>
    <w:rsid w:val="00E17017"/>
    <w:rsid w:val="00E17D8D"/>
    <w:rsid w:val="00E232A2"/>
    <w:rsid w:val="00E249AB"/>
    <w:rsid w:val="00E26843"/>
    <w:rsid w:val="00E27B05"/>
    <w:rsid w:val="00E27FAC"/>
    <w:rsid w:val="00E316C1"/>
    <w:rsid w:val="00E31949"/>
    <w:rsid w:val="00E31E3F"/>
    <w:rsid w:val="00E336C0"/>
    <w:rsid w:val="00E33AAB"/>
    <w:rsid w:val="00E3565D"/>
    <w:rsid w:val="00E432E9"/>
    <w:rsid w:val="00E43FE0"/>
    <w:rsid w:val="00E511EE"/>
    <w:rsid w:val="00E52A61"/>
    <w:rsid w:val="00E6101B"/>
    <w:rsid w:val="00E71C03"/>
    <w:rsid w:val="00E72D5A"/>
    <w:rsid w:val="00E72E1A"/>
    <w:rsid w:val="00E7680D"/>
    <w:rsid w:val="00E77C3C"/>
    <w:rsid w:val="00E82A84"/>
    <w:rsid w:val="00E9068D"/>
    <w:rsid w:val="00E9353B"/>
    <w:rsid w:val="00EA08B1"/>
    <w:rsid w:val="00EA4124"/>
    <w:rsid w:val="00EB0572"/>
    <w:rsid w:val="00EB1418"/>
    <w:rsid w:val="00EB7B79"/>
    <w:rsid w:val="00EB7BB0"/>
    <w:rsid w:val="00EB7D0D"/>
    <w:rsid w:val="00EC080E"/>
    <w:rsid w:val="00EC1660"/>
    <w:rsid w:val="00EC1874"/>
    <w:rsid w:val="00EC2AD1"/>
    <w:rsid w:val="00EC30B8"/>
    <w:rsid w:val="00EC47F0"/>
    <w:rsid w:val="00EE1979"/>
    <w:rsid w:val="00EE702E"/>
    <w:rsid w:val="00EF2822"/>
    <w:rsid w:val="00EF28D1"/>
    <w:rsid w:val="00EF5D63"/>
    <w:rsid w:val="00EF7807"/>
    <w:rsid w:val="00F00EDF"/>
    <w:rsid w:val="00F0179F"/>
    <w:rsid w:val="00F073AC"/>
    <w:rsid w:val="00F1081D"/>
    <w:rsid w:val="00F11E02"/>
    <w:rsid w:val="00F15490"/>
    <w:rsid w:val="00F2104B"/>
    <w:rsid w:val="00F2243D"/>
    <w:rsid w:val="00F24A90"/>
    <w:rsid w:val="00F27A19"/>
    <w:rsid w:val="00F31FD1"/>
    <w:rsid w:val="00F33851"/>
    <w:rsid w:val="00F361D8"/>
    <w:rsid w:val="00F406BC"/>
    <w:rsid w:val="00F42542"/>
    <w:rsid w:val="00F5095D"/>
    <w:rsid w:val="00F53884"/>
    <w:rsid w:val="00F53A56"/>
    <w:rsid w:val="00F55CF6"/>
    <w:rsid w:val="00F6339D"/>
    <w:rsid w:val="00F65D1A"/>
    <w:rsid w:val="00F66662"/>
    <w:rsid w:val="00F70904"/>
    <w:rsid w:val="00F7181D"/>
    <w:rsid w:val="00F75050"/>
    <w:rsid w:val="00F75F5F"/>
    <w:rsid w:val="00F81722"/>
    <w:rsid w:val="00F87334"/>
    <w:rsid w:val="00F943E3"/>
    <w:rsid w:val="00F978B5"/>
    <w:rsid w:val="00FA0226"/>
    <w:rsid w:val="00FA1347"/>
    <w:rsid w:val="00FA3773"/>
    <w:rsid w:val="00FB3E1D"/>
    <w:rsid w:val="00FB7C34"/>
    <w:rsid w:val="00FC121D"/>
    <w:rsid w:val="00FC5CC1"/>
    <w:rsid w:val="00FC620B"/>
    <w:rsid w:val="00FC6714"/>
    <w:rsid w:val="00FC731C"/>
    <w:rsid w:val="00FD2EAD"/>
    <w:rsid w:val="00FD7ED1"/>
    <w:rsid w:val="00FE56D5"/>
    <w:rsid w:val="00FE7974"/>
    <w:rsid w:val="00FF0F7E"/>
    <w:rsid w:val="00FF29B3"/>
    <w:rsid w:val="00FF571B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F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D03AF1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rsid w:val="00C97B6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97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7B65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7B65"/>
    <w:rPr>
      <w:rFonts w:ascii="Times New Roman" w:hAnsi="Times New Rom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97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B65"/>
    <w:rPr>
      <w:rFonts w:ascii="Tahoma" w:hAnsi="Tahoma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F11E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5D07"/>
    <w:rPr>
      <w:rFonts w:ascii="Times New Roman" w:hAnsi="Times New Roman"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11E0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153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079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8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0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0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40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0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40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40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40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408869">
                                                                                  <w:marLeft w:val="34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B3B3B3"/>
                                                                                    <w:left w:val="single" w:sz="2" w:space="23" w:color="B3B3B3"/>
                                                                                    <w:bottom w:val="single" w:sz="6" w:space="31" w:color="B3B3B3"/>
                                                                                    <w:right w:val="single" w:sz="6" w:space="31" w:color="B3B3B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408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408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408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iffeise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1553</Words>
  <Characters>8856</Characters>
  <Application>Microsoft Office Word</Application>
  <DocSecurity>0</DocSecurity>
  <Lines>73</Lines>
  <Paragraphs>20</Paragraphs>
  <ScaleCrop>false</ScaleCrop>
  <Company>ZAO Raiffeisenbank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«Райффайзенбанк» объявляет о результатах деятельности по итогам 1 полугодия 2012 года в соответствии с международными стандартами финансовой отчетности</dc:title>
  <dc:subject/>
  <dc:creator>MARTYANOVA Elizaveta</dc:creator>
  <cp:keywords/>
  <dc:description/>
  <cp:lastModifiedBy>ATOMAS Natalya</cp:lastModifiedBy>
  <cp:revision>11</cp:revision>
  <cp:lastPrinted>2014-05-26T12:26:00Z</cp:lastPrinted>
  <dcterms:created xsi:type="dcterms:W3CDTF">2014-05-27T08:49:00Z</dcterms:created>
  <dcterms:modified xsi:type="dcterms:W3CDTF">2014-05-29T06:25:00Z</dcterms:modified>
</cp:coreProperties>
</file>